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74847" w14:textId="77777777" w:rsidR="004E7A37" w:rsidRDefault="001D2D19">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160" w:after="160" w:line="288" w:lineRule="auto"/>
        <w:rPr>
          <w:b/>
          <w:sz w:val="48"/>
          <w:szCs w:val="48"/>
          <w:highlight w:val="white"/>
        </w:rPr>
      </w:pPr>
      <w:bookmarkStart w:id="0" w:name="_j04ahjt2kgia" w:colFirst="0" w:colLast="0"/>
      <w:bookmarkStart w:id="1" w:name="_GoBack"/>
      <w:bookmarkEnd w:id="0"/>
      <w:bookmarkEnd w:id="1"/>
      <w:r>
        <w:rPr>
          <w:b/>
          <w:sz w:val="48"/>
          <w:szCs w:val="48"/>
          <w:highlight w:val="white"/>
        </w:rPr>
        <w:t>Killed, wounded, and missing</w:t>
      </w:r>
    </w:p>
    <w:p w14:paraId="1F2C9B98" w14:textId="77777777" w:rsidR="004E7A37" w:rsidRDefault="001D2D19">
      <w:pPr>
        <w:pBdr>
          <w:top w:val="none" w:sz="0" w:space="0" w:color="auto"/>
          <w:left w:val="none" w:sz="0" w:space="0" w:color="auto"/>
          <w:bottom w:val="none" w:sz="0" w:space="0" w:color="auto"/>
          <w:right w:val="none" w:sz="0" w:space="0" w:color="auto"/>
          <w:between w:val="none" w:sz="0" w:space="0" w:color="auto"/>
        </w:pBdr>
        <w:spacing w:before="160" w:after="300"/>
        <w:rPr>
          <w:sz w:val="27"/>
          <w:szCs w:val="27"/>
          <w:highlight w:val="white"/>
        </w:rPr>
      </w:pPr>
      <w:r>
        <w:rPr>
          <w:sz w:val="27"/>
          <w:szCs w:val="27"/>
          <w:highlight w:val="white"/>
        </w:rPr>
        <w:t xml:space="preserve">The casualties suffered by the participants in World War I dwarfed those of previous wars: some 8,500,000 soldiers died as a result of wounds and/or disease. The greatest number of casualties and wounds were inflicted by </w:t>
      </w:r>
      <w:hyperlink r:id="rId4">
        <w:r>
          <w:rPr>
            <w:color w:val="106596"/>
            <w:sz w:val="27"/>
            <w:szCs w:val="27"/>
            <w:highlight w:val="white"/>
            <w:u w:val="single"/>
          </w:rPr>
          <w:t>artillery</w:t>
        </w:r>
      </w:hyperlink>
      <w:r>
        <w:rPr>
          <w:sz w:val="27"/>
          <w:szCs w:val="27"/>
          <w:highlight w:val="white"/>
        </w:rPr>
        <w:t xml:space="preserve">, followed by small arms, and then by poison gas. The </w:t>
      </w:r>
      <w:hyperlink r:id="rId5">
        <w:r>
          <w:rPr>
            <w:color w:val="106596"/>
            <w:sz w:val="27"/>
            <w:szCs w:val="27"/>
            <w:highlight w:val="white"/>
            <w:u w:val="single"/>
          </w:rPr>
          <w:t>bayonet</w:t>
        </w:r>
      </w:hyperlink>
      <w:r>
        <w:rPr>
          <w:sz w:val="27"/>
          <w:szCs w:val="27"/>
          <w:highlight w:val="white"/>
        </w:rPr>
        <w:t>, which was relied on by the prewar French Army as the d</w:t>
      </w:r>
      <w:r>
        <w:rPr>
          <w:sz w:val="27"/>
          <w:szCs w:val="27"/>
          <w:highlight w:val="white"/>
        </w:rPr>
        <w:t>ecisive weapon, actually produced few casualties. War was increasingly mechanized from 1914 and produced casualties even when nothing important was happening. On even a quiet day on the Western Front, many hundreds of Allied and German soldiers died. The h</w:t>
      </w:r>
      <w:r>
        <w:rPr>
          <w:sz w:val="27"/>
          <w:szCs w:val="27"/>
          <w:highlight w:val="white"/>
        </w:rPr>
        <w:t xml:space="preserve">eaviest loss of life for a single day occurred on July 1, 1916, during the </w:t>
      </w:r>
      <w:hyperlink r:id="rId6">
        <w:r>
          <w:rPr>
            <w:color w:val="106596"/>
            <w:sz w:val="27"/>
            <w:szCs w:val="27"/>
            <w:highlight w:val="white"/>
            <w:u w:val="single"/>
          </w:rPr>
          <w:t>Battle of the Somme</w:t>
        </w:r>
      </w:hyperlink>
      <w:r>
        <w:rPr>
          <w:sz w:val="27"/>
          <w:szCs w:val="27"/>
          <w:highlight w:val="white"/>
        </w:rPr>
        <w:t xml:space="preserve">, when the </w:t>
      </w:r>
      <w:hyperlink r:id="rId7">
        <w:r>
          <w:rPr>
            <w:color w:val="106596"/>
            <w:sz w:val="27"/>
            <w:szCs w:val="27"/>
            <w:highlight w:val="white"/>
            <w:u w:val="single"/>
          </w:rPr>
          <w:t xml:space="preserve">British </w:t>
        </w:r>
        <w:r>
          <w:rPr>
            <w:color w:val="106596"/>
            <w:sz w:val="27"/>
            <w:szCs w:val="27"/>
            <w:highlight w:val="white"/>
            <w:u w:val="single"/>
          </w:rPr>
          <w:t>Army</w:t>
        </w:r>
      </w:hyperlink>
      <w:r>
        <w:rPr>
          <w:sz w:val="27"/>
          <w:szCs w:val="27"/>
          <w:highlight w:val="white"/>
        </w:rPr>
        <w:t xml:space="preserve"> suffered 57,470 casualties.</w:t>
      </w:r>
    </w:p>
    <w:p w14:paraId="0D59DADB" w14:textId="77777777" w:rsidR="004E7A37" w:rsidRDefault="001D2D19">
      <w:pPr>
        <w:pBdr>
          <w:top w:val="none" w:sz="0" w:space="0" w:color="auto"/>
          <w:left w:val="none" w:sz="0" w:space="0" w:color="auto"/>
          <w:bottom w:val="none" w:sz="0" w:space="0" w:color="auto"/>
          <w:right w:val="none" w:sz="0" w:space="0" w:color="auto"/>
          <w:between w:val="none" w:sz="0" w:space="0" w:color="auto"/>
        </w:pBdr>
        <w:spacing w:before="160" w:after="300"/>
        <w:rPr>
          <w:sz w:val="27"/>
          <w:szCs w:val="27"/>
          <w:highlight w:val="white"/>
        </w:rPr>
      </w:pPr>
      <w:r>
        <w:rPr>
          <w:sz w:val="27"/>
          <w:szCs w:val="27"/>
          <w:highlight w:val="white"/>
        </w:rPr>
        <w:t xml:space="preserve">Sir </w:t>
      </w:r>
      <w:hyperlink r:id="rId8">
        <w:r>
          <w:rPr>
            <w:color w:val="106596"/>
            <w:sz w:val="27"/>
            <w:szCs w:val="27"/>
            <w:highlight w:val="white"/>
            <w:u w:val="single"/>
          </w:rPr>
          <w:t>Winston Churchill</w:t>
        </w:r>
      </w:hyperlink>
      <w:r>
        <w:rPr>
          <w:sz w:val="27"/>
          <w:szCs w:val="27"/>
          <w:highlight w:val="white"/>
        </w:rPr>
        <w:t xml:space="preserve"> once described the battles of the Somme and </w:t>
      </w:r>
      <w:hyperlink r:id="rId9">
        <w:r>
          <w:rPr>
            <w:color w:val="106596"/>
            <w:sz w:val="27"/>
            <w:szCs w:val="27"/>
            <w:highlight w:val="white"/>
            <w:u w:val="single"/>
          </w:rPr>
          <w:t>Verdun</w:t>
        </w:r>
      </w:hyperlink>
      <w:r>
        <w:rPr>
          <w:sz w:val="27"/>
          <w:szCs w:val="27"/>
          <w:highlight w:val="white"/>
        </w:rPr>
        <w:t>, which wer</w:t>
      </w:r>
      <w:r>
        <w:rPr>
          <w:sz w:val="27"/>
          <w:szCs w:val="27"/>
          <w:highlight w:val="white"/>
        </w:rPr>
        <w:t xml:space="preserve">e typical of </w:t>
      </w:r>
      <w:hyperlink r:id="rId10">
        <w:r>
          <w:rPr>
            <w:color w:val="106596"/>
            <w:sz w:val="27"/>
            <w:szCs w:val="27"/>
            <w:highlight w:val="white"/>
            <w:u w:val="single"/>
          </w:rPr>
          <w:t>trench warfare</w:t>
        </w:r>
      </w:hyperlink>
      <w:r>
        <w:rPr>
          <w:sz w:val="27"/>
          <w:szCs w:val="27"/>
          <w:highlight w:val="white"/>
        </w:rPr>
        <w:t xml:space="preserve"> in their </w:t>
      </w:r>
      <w:hyperlink r:id="rId11">
        <w:r>
          <w:rPr>
            <w:sz w:val="27"/>
            <w:szCs w:val="27"/>
            <w:highlight w:val="white"/>
            <w:u w:val="single"/>
          </w:rPr>
          <w:t>futile</w:t>
        </w:r>
      </w:hyperlink>
      <w:r>
        <w:rPr>
          <w:sz w:val="27"/>
          <w:szCs w:val="27"/>
          <w:highlight w:val="white"/>
        </w:rPr>
        <w:t xml:space="preserve"> and </w:t>
      </w:r>
      <w:hyperlink r:id="rId12">
        <w:r>
          <w:rPr>
            <w:sz w:val="27"/>
            <w:szCs w:val="27"/>
            <w:highlight w:val="white"/>
            <w:u w:val="single"/>
          </w:rPr>
          <w:t>indiscriminate</w:t>
        </w:r>
      </w:hyperlink>
      <w:r>
        <w:rPr>
          <w:sz w:val="27"/>
          <w:szCs w:val="27"/>
          <w:highlight w:val="white"/>
        </w:rPr>
        <w:t xml:space="preserve"> slaughter, as being waged between double or triple walls of cannons fed by mountains of shells. In an open space surrounded by masses of these guns </w:t>
      </w:r>
      <w:hyperlink r:id="rId13">
        <w:r>
          <w:rPr>
            <w:color w:val="106596"/>
            <w:sz w:val="27"/>
            <w:szCs w:val="27"/>
            <w:highlight w:val="white"/>
            <w:u w:val="single"/>
          </w:rPr>
          <w:t>large numbers</w:t>
        </w:r>
      </w:hyperlink>
      <w:r>
        <w:rPr>
          <w:sz w:val="27"/>
          <w:szCs w:val="27"/>
          <w:highlight w:val="white"/>
        </w:rPr>
        <w:t xml:space="preserve"> </w:t>
      </w:r>
      <w:r>
        <w:rPr>
          <w:sz w:val="27"/>
          <w:szCs w:val="27"/>
          <w:highlight w:val="white"/>
        </w:rPr>
        <w:t>of infantry divisions collided. They fought in this dangerous position until battered into a state of uselessness. Then they were replaced by other divisions. So many men were lost in the process and shattered beyond recognition that there is a French monu</w:t>
      </w:r>
      <w:r>
        <w:rPr>
          <w:sz w:val="27"/>
          <w:szCs w:val="27"/>
          <w:highlight w:val="white"/>
        </w:rPr>
        <w:t>ment at Verdun to the 150,000 unlocated dead who are assumed to be buried in the vicinity.</w:t>
      </w:r>
    </w:p>
    <w:p w14:paraId="4B2DC5B8" w14:textId="77777777" w:rsidR="004E7A37" w:rsidRDefault="001D2D19">
      <w:pPr>
        <w:pBdr>
          <w:top w:val="none" w:sz="0" w:space="0" w:color="auto"/>
          <w:left w:val="none" w:sz="0" w:space="0" w:color="auto"/>
          <w:bottom w:val="none" w:sz="0" w:space="0" w:color="auto"/>
          <w:right w:val="none" w:sz="0" w:space="0" w:color="auto"/>
          <w:between w:val="none" w:sz="0" w:space="0" w:color="auto"/>
        </w:pBdr>
        <w:spacing w:before="160" w:after="300"/>
        <w:rPr>
          <w:sz w:val="27"/>
          <w:szCs w:val="27"/>
          <w:highlight w:val="white"/>
        </w:rPr>
      </w:pPr>
      <w:r>
        <w:rPr>
          <w:sz w:val="27"/>
          <w:szCs w:val="27"/>
          <w:highlight w:val="white"/>
        </w:rPr>
        <w:t xml:space="preserve">This kind of </w:t>
      </w:r>
      <w:hyperlink r:id="rId14">
        <w:r>
          <w:rPr>
            <w:color w:val="106596"/>
            <w:sz w:val="27"/>
            <w:szCs w:val="27"/>
            <w:highlight w:val="white"/>
            <w:u w:val="single"/>
          </w:rPr>
          <w:t>war</w:t>
        </w:r>
      </w:hyperlink>
      <w:r>
        <w:rPr>
          <w:sz w:val="27"/>
          <w:szCs w:val="27"/>
          <w:highlight w:val="white"/>
        </w:rPr>
        <w:t xml:space="preserve"> made it difficult to prepare accurate casualty lists. There were revolutions in four of the </w:t>
      </w:r>
      <w:r>
        <w:rPr>
          <w:sz w:val="27"/>
          <w:szCs w:val="27"/>
          <w:highlight w:val="white"/>
        </w:rPr>
        <w:t>warring countries in 1918, and the attention of the new governments was shifted away from the grim problem of war losses. A completely accurate table of losses may never be compiled. The best available estimates of World War I military casualties are assem</w:t>
      </w:r>
      <w:r>
        <w:rPr>
          <w:sz w:val="27"/>
          <w:szCs w:val="27"/>
          <w:highlight w:val="white"/>
        </w:rPr>
        <w:t>bled in Table 4.</w:t>
      </w:r>
    </w:p>
    <w:p w14:paraId="36070C98" w14:textId="77777777" w:rsidR="004E7A37" w:rsidRDefault="001D2D19">
      <w:pPr>
        <w:spacing w:after="220" w:line="335" w:lineRule="auto"/>
        <w:jc w:val="center"/>
        <w:rPr>
          <w:b/>
          <w:sz w:val="27"/>
          <w:szCs w:val="27"/>
          <w:shd w:val="clear" w:color="auto" w:fill="F2F2F2"/>
        </w:rPr>
      </w:pPr>
      <w:r>
        <w:rPr>
          <w:b/>
          <w:sz w:val="27"/>
          <w:szCs w:val="27"/>
          <w:shd w:val="clear" w:color="auto" w:fill="F2F2F2"/>
        </w:rPr>
        <w:t>Armed forces mobilized and casualties in World War I*</w:t>
      </w:r>
    </w:p>
    <w:tbl>
      <w:tblPr>
        <w:tblStyle w:val="a"/>
        <w:tblW w:w="936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359"/>
        <w:gridCol w:w="1332"/>
        <w:gridCol w:w="1210"/>
        <w:gridCol w:w="1331"/>
        <w:gridCol w:w="1223"/>
        <w:gridCol w:w="1331"/>
        <w:gridCol w:w="1574"/>
      </w:tblGrid>
      <w:tr w:rsidR="004E7A37" w14:paraId="53E93E84" w14:textId="77777777">
        <w:trPr>
          <w:trHeight w:val="880"/>
        </w:trPr>
        <w:tc>
          <w:tcPr>
            <w:tcW w:w="9357" w:type="dxa"/>
            <w:gridSpan w:val="7"/>
            <w:tcBorders>
              <w:top w:val="nil"/>
              <w:left w:val="nil"/>
              <w:bottom w:val="nil"/>
              <w:right w:val="nil"/>
            </w:tcBorders>
            <w:tcMar>
              <w:top w:w="120" w:type="dxa"/>
              <w:left w:w="120" w:type="dxa"/>
              <w:bottom w:w="120" w:type="dxa"/>
              <w:right w:w="120" w:type="dxa"/>
            </w:tcMar>
            <w:vAlign w:val="center"/>
          </w:tcPr>
          <w:p w14:paraId="477AFA83" w14:textId="77777777" w:rsidR="004E7A37" w:rsidRDefault="001D2D19">
            <w:pPr>
              <w:spacing w:after="520"/>
              <w:rPr>
                <w:sz w:val="27"/>
                <w:szCs w:val="27"/>
                <w:shd w:val="clear" w:color="auto" w:fill="FCFCFC"/>
              </w:rPr>
            </w:pPr>
            <w:r>
              <w:rPr>
                <w:shd w:val="clear" w:color="auto" w:fill="FCFCFC"/>
              </w:rPr>
              <w:t>*As reported by the U.S. War Department in February 1924. U.S. casualties as amended by the Statistical Services Center, Office of the Secretary of Defense, Nov. 7, 1957.</w:t>
            </w:r>
          </w:p>
        </w:tc>
      </w:tr>
      <w:tr w:rsidR="004E7A37" w14:paraId="5A20A4D6" w14:textId="77777777">
        <w:trPr>
          <w:trHeight w:val="1320"/>
        </w:trPr>
        <w:tc>
          <w:tcPr>
            <w:tcW w:w="1358" w:type="dxa"/>
            <w:tcBorders>
              <w:top w:val="nil"/>
              <w:left w:val="nil"/>
              <w:bottom w:val="nil"/>
              <w:right w:val="single" w:sz="6" w:space="0" w:color="CCCCCC"/>
            </w:tcBorders>
            <w:shd w:val="clear" w:color="auto" w:fill="auto"/>
            <w:tcMar>
              <w:top w:w="120" w:type="dxa"/>
              <w:left w:w="120" w:type="dxa"/>
              <w:bottom w:w="120" w:type="dxa"/>
              <w:right w:w="120" w:type="dxa"/>
            </w:tcMar>
            <w:vAlign w:val="center"/>
          </w:tcPr>
          <w:p w14:paraId="3610405F" w14:textId="77777777" w:rsidR="004E7A37" w:rsidRDefault="001D2D19">
            <w:pPr>
              <w:spacing w:after="520"/>
              <w:jc w:val="center"/>
              <w:rPr>
                <w:sz w:val="27"/>
                <w:szCs w:val="27"/>
                <w:shd w:val="clear" w:color="auto" w:fill="FCFCFC"/>
              </w:rPr>
            </w:pPr>
            <w:r>
              <w:rPr>
                <w:b/>
                <w:sz w:val="24"/>
                <w:szCs w:val="24"/>
                <w:shd w:val="clear" w:color="auto" w:fill="FCFCFC"/>
              </w:rPr>
              <w:lastRenderedPageBreak/>
              <w:t>country</w:t>
            </w:r>
          </w:p>
        </w:tc>
        <w:tc>
          <w:tcPr>
            <w:tcW w:w="1331" w:type="dxa"/>
            <w:tcBorders>
              <w:top w:val="nil"/>
              <w:left w:val="nil"/>
              <w:bottom w:val="nil"/>
              <w:right w:val="single" w:sz="6" w:space="0" w:color="CCCCCC"/>
            </w:tcBorders>
            <w:shd w:val="clear" w:color="auto" w:fill="auto"/>
            <w:tcMar>
              <w:top w:w="120" w:type="dxa"/>
              <w:left w:w="120" w:type="dxa"/>
              <w:bottom w:w="120" w:type="dxa"/>
              <w:right w:w="120" w:type="dxa"/>
            </w:tcMar>
            <w:vAlign w:val="center"/>
          </w:tcPr>
          <w:p w14:paraId="28823E00" w14:textId="77777777" w:rsidR="004E7A37" w:rsidRDefault="001D2D19">
            <w:pPr>
              <w:spacing w:after="520"/>
              <w:jc w:val="center"/>
              <w:rPr>
                <w:sz w:val="27"/>
                <w:szCs w:val="27"/>
                <w:shd w:val="clear" w:color="auto" w:fill="FCFCFC"/>
              </w:rPr>
            </w:pPr>
            <w:r>
              <w:rPr>
                <w:b/>
                <w:sz w:val="24"/>
                <w:szCs w:val="24"/>
                <w:shd w:val="clear" w:color="auto" w:fill="FCFCFC"/>
              </w:rPr>
              <w:t>total mobilized forces</w:t>
            </w:r>
          </w:p>
        </w:tc>
        <w:tc>
          <w:tcPr>
            <w:tcW w:w="1210" w:type="dxa"/>
            <w:tcBorders>
              <w:top w:val="nil"/>
              <w:left w:val="nil"/>
              <w:bottom w:val="nil"/>
              <w:right w:val="single" w:sz="6" w:space="0" w:color="CCCCCC"/>
            </w:tcBorders>
            <w:shd w:val="clear" w:color="auto" w:fill="auto"/>
            <w:tcMar>
              <w:top w:w="120" w:type="dxa"/>
              <w:left w:w="120" w:type="dxa"/>
              <w:bottom w:w="120" w:type="dxa"/>
              <w:right w:w="120" w:type="dxa"/>
            </w:tcMar>
            <w:vAlign w:val="center"/>
          </w:tcPr>
          <w:p w14:paraId="27915666" w14:textId="77777777" w:rsidR="004E7A37" w:rsidRDefault="001D2D19">
            <w:pPr>
              <w:spacing w:after="520"/>
              <w:jc w:val="center"/>
              <w:rPr>
                <w:sz w:val="27"/>
                <w:szCs w:val="27"/>
                <w:shd w:val="clear" w:color="auto" w:fill="FCFCFC"/>
              </w:rPr>
            </w:pPr>
            <w:r>
              <w:rPr>
                <w:b/>
                <w:sz w:val="24"/>
                <w:szCs w:val="24"/>
                <w:shd w:val="clear" w:color="auto" w:fill="FCFCFC"/>
              </w:rPr>
              <w:t>killed and died</w:t>
            </w:r>
          </w:p>
        </w:tc>
        <w:tc>
          <w:tcPr>
            <w:tcW w:w="1331" w:type="dxa"/>
            <w:tcBorders>
              <w:top w:val="nil"/>
              <w:left w:val="nil"/>
              <w:bottom w:val="nil"/>
              <w:right w:val="single" w:sz="6" w:space="0" w:color="CCCCCC"/>
            </w:tcBorders>
            <w:shd w:val="clear" w:color="auto" w:fill="auto"/>
            <w:tcMar>
              <w:top w:w="120" w:type="dxa"/>
              <w:left w:w="120" w:type="dxa"/>
              <w:bottom w:w="120" w:type="dxa"/>
              <w:right w:w="120" w:type="dxa"/>
            </w:tcMar>
            <w:vAlign w:val="center"/>
          </w:tcPr>
          <w:p w14:paraId="0DAC5D13" w14:textId="77777777" w:rsidR="004E7A37" w:rsidRDefault="001D2D19">
            <w:pPr>
              <w:spacing w:after="520"/>
              <w:jc w:val="center"/>
              <w:rPr>
                <w:sz w:val="27"/>
                <w:szCs w:val="27"/>
                <w:shd w:val="clear" w:color="auto" w:fill="FCFCFC"/>
              </w:rPr>
            </w:pPr>
            <w:r>
              <w:rPr>
                <w:b/>
                <w:sz w:val="24"/>
                <w:szCs w:val="24"/>
                <w:shd w:val="clear" w:color="auto" w:fill="FCFCFC"/>
              </w:rPr>
              <w:t>wounded</w:t>
            </w:r>
          </w:p>
        </w:tc>
        <w:tc>
          <w:tcPr>
            <w:tcW w:w="1223" w:type="dxa"/>
            <w:tcBorders>
              <w:top w:val="nil"/>
              <w:left w:val="nil"/>
              <w:bottom w:val="nil"/>
              <w:right w:val="single" w:sz="6" w:space="0" w:color="CCCCCC"/>
            </w:tcBorders>
            <w:shd w:val="clear" w:color="auto" w:fill="auto"/>
            <w:tcMar>
              <w:top w:w="120" w:type="dxa"/>
              <w:left w:w="120" w:type="dxa"/>
              <w:bottom w:w="120" w:type="dxa"/>
              <w:right w:w="120" w:type="dxa"/>
            </w:tcMar>
            <w:vAlign w:val="center"/>
          </w:tcPr>
          <w:p w14:paraId="287B6976" w14:textId="77777777" w:rsidR="004E7A37" w:rsidRDefault="001D2D19">
            <w:pPr>
              <w:spacing w:after="520"/>
              <w:jc w:val="center"/>
              <w:rPr>
                <w:sz w:val="27"/>
                <w:szCs w:val="27"/>
                <w:shd w:val="clear" w:color="auto" w:fill="FCFCFC"/>
              </w:rPr>
            </w:pPr>
            <w:r>
              <w:rPr>
                <w:b/>
                <w:sz w:val="24"/>
                <w:szCs w:val="24"/>
                <w:shd w:val="clear" w:color="auto" w:fill="FCFCFC"/>
              </w:rPr>
              <w:t>prisoners and missing</w:t>
            </w:r>
          </w:p>
        </w:tc>
        <w:tc>
          <w:tcPr>
            <w:tcW w:w="1331" w:type="dxa"/>
            <w:tcBorders>
              <w:top w:val="nil"/>
              <w:left w:val="nil"/>
              <w:bottom w:val="nil"/>
              <w:right w:val="single" w:sz="6" w:space="0" w:color="CCCCCC"/>
            </w:tcBorders>
            <w:shd w:val="clear" w:color="auto" w:fill="auto"/>
            <w:tcMar>
              <w:top w:w="120" w:type="dxa"/>
              <w:left w:w="120" w:type="dxa"/>
              <w:bottom w:w="120" w:type="dxa"/>
              <w:right w:w="120" w:type="dxa"/>
            </w:tcMar>
            <w:vAlign w:val="center"/>
          </w:tcPr>
          <w:p w14:paraId="21899941" w14:textId="77777777" w:rsidR="004E7A37" w:rsidRDefault="001D2D19">
            <w:pPr>
              <w:spacing w:after="520"/>
              <w:jc w:val="center"/>
              <w:rPr>
                <w:sz w:val="27"/>
                <w:szCs w:val="27"/>
                <w:shd w:val="clear" w:color="auto" w:fill="FCFCFC"/>
              </w:rPr>
            </w:pPr>
            <w:r>
              <w:rPr>
                <w:b/>
                <w:sz w:val="24"/>
                <w:szCs w:val="24"/>
                <w:shd w:val="clear" w:color="auto" w:fill="FCFCFC"/>
              </w:rPr>
              <w:t>total casualties</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36C90DBC" w14:textId="77777777" w:rsidR="004E7A37" w:rsidRDefault="001D2D19">
            <w:pPr>
              <w:spacing w:after="520"/>
              <w:jc w:val="center"/>
              <w:rPr>
                <w:sz w:val="27"/>
                <w:szCs w:val="27"/>
                <w:shd w:val="clear" w:color="auto" w:fill="FCFCFC"/>
              </w:rPr>
            </w:pPr>
            <w:r>
              <w:rPr>
                <w:b/>
                <w:sz w:val="24"/>
                <w:szCs w:val="24"/>
                <w:shd w:val="clear" w:color="auto" w:fill="FCFCFC"/>
              </w:rPr>
              <w:t>percentage of mobilized forces in casualties</w:t>
            </w:r>
          </w:p>
        </w:tc>
      </w:tr>
      <w:tr w:rsidR="004E7A37" w14:paraId="5E3946BB" w14:textId="77777777">
        <w:trPr>
          <w:trHeight w:val="520"/>
        </w:trPr>
        <w:tc>
          <w:tcPr>
            <w:tcW w:w="9357" w:type="dxa"/>
            <w:gridSpan w:val="7"/>
            <w:tcBorders>
              <w:top w:val="nil"/>
              <w:left w:val="nil"/>
              <w:bottom w:val="nil"/>
              <w:right w:val="nil"/>
            </w:tcBorders>
            <w:shd w:val="clear" w:color="auto" w:fill="auto"/>
            <w:tcMar>
              <w:top w:w="120" w:type="dxa"/>
              <w:left w:w="120" w:type="dxa"/>
              <w:bottom w:w="120" w:type="dxa"/>
              <w:right w:w="120" w:type="dxa"/>
            </w:tcMar>
            <w:vAlign w:val="center"/>
          </w:tcPr>
          <w:p w14:paraId="316080C8" w14:textId="77777777" w:rsidR="004E7A37" w:rsidRDefault="001D2D19">
            <w:pPr>
              <w:spacing w:after="520"/>
              <w:jc w:val="center"/>
              <w:rPr>
                <w:sz w:val="27"/>
                <w:szCs w:val="27"/>
                <w:shd w:val="clear" w:color="auto" w:fill="FCFCFC"/>
              </w:rPr>
            </w:pPr>
            <w:r>
              <w:rPr>
                <w:b/>
                <w:sz w:val="24"/>
                <w:szCs w:val="24"/>
                <w:shd w:val="clear" w:color="auto" w:fill="FCFCFC"/>
              </w:rPr>
              <w:t>Allied and Associated Powers</w:t>
            </w:r>
          </w:p>
        </w:tc>
      </w:tr>
      <w:tr w:rsidR="004E7A37" w14:paraId="2BE0E00A" w14:textId="77777777">
        <w:trPr>
          <w:trHeight w:val="480"/>
        </w:trPr>
        <w:tc>
          <w:tcPr>
            <w:tcW w:w="1358"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565B581D" w14:textId="77777777" w:rsidR="004E7A37" w:rsidRDefault="001D2D19">
            <w:pPr>
              <w:spacing w:after="520"/>
              <w:rPr>
                <w:sz w:val="27"/>
                <w:szCs w:val="27"/>
                <w:shd w:val="clear" w:color="auto" w:fill="FCFCFC"/>
              </w:rPr>
            </w:pPr>
            <w:r>
              <w:rPr>
                <w:b/>
                <w:shd w:val="clear" w:color="auto" w:fill="FCFCFC"/>
              </w:rPr>
              <w:t>Russia</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095024C2" w14:textId="77777777" w:rsidR="004E7A37" w:rsidRDefault="001D2D19">
            <w:pPr>
              <w:spacing w:after="520"/>
              <w:rPr>
                <w:sz w:val="27"/>
                <w:szCs w:val="27"/>
                <w:shd w:val="clear" w:color="auto" w:fill="FCFCFC"/>
              </w:rPr>
            </w:pPr>
            <w:r>
              <w:rPr>
                <w:shd w:val="clear" w:color="auto" w:fill="FCFCFC"/>
              </w:rPr>
              <w:t>12,000,000</w:t>
            </w:r>
          </w:p>
        </w:tc>
        <w:tc>
          <w:tcPr>
            <w:tcW w:w="1210"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629EE03F" w14:textId="77777777" w:rsidR="004E7A37" w:rsidRDefault="001D2D19">
            <w:pPr>
              <w:spacing w:after="520"/>
              <w:rPr>
                <w:sz w:val="27"/>
                <w:szCs w:val="27"/>
                <w:shd w:val="clear" w:color="auto" w:fill="FCFCFC"/>
              </w:rPr>
            </w:pPr>
            <w:r>
              <w:rPr>
                <w:shd w:val="clear" w:color="auto" w:fill="FCFCFC"/>
              </w:rPr>
              <w:t>1,700,000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040DAC74" w14:textId="77777777" w:rsidR="004E7A37" w:rsidRDefault="001D2D19">
            <w:pPr>
              <w:spacing w:after="520"/>
              <w:rPr>
                <w:sz w:val="27"/>
                <w:szCs w:val="27"/>
                <w:shd w:val="clear" w:color="auto" w:fill="FCFCFC"/>
              </w:rPr>
            </w:pPr>
            <w:r>
              <w:rPr>
                <w:shd w:val="clear" w:color="auto" w:fill="FCFCFC"/>
              </w:rPr>
              <w:t>4,950,000</w:t>
            </w:r>
          </w:p>
        </w:tc>
        <w:tc>
          <w:tcPr>
            <w:tcW w:w="1223"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1B9D9045" w14:textId="77777777" w:rsidR="004E7A37" w:rsidRDefault="001D2D19">
            <w:pPr>
              <w:spacing w:after="520"/>
              <w:rPr>
                <w:sz w:val="27"/>
                <w:szCs w:val="27"/>
                <w:shd w:val="clear" w:color="auto" w:fill="FCFCFC"/>
              </w:rPr>
            </w:pPr>
            <w:r>
              <w:rPr>
                <w:shd w:val="clear" w:color="auto" w:fill="FCFCFC"/>
              </w:rPr>
              <w:t>2,500,000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06B46E67" w14:textId="77777777" w:rsidR="004E7A37" w:rsidRDefault="001D2D19">
            <w:pPr>
              <w:spacing w:after="520"/>
              <w:rPr>
                <w:sz w:val="27"/>
                <w:szCs w:val="27"/>
                <w:shd w:val="clear" w:color="auto" w:fill="FCFCFC"/>
              </w:rPr>
            </w:pPr>
            <w:r>
              <w:rPr>
                <w:shd w:val="clear" w:color="auto" w:fill="FCFCFC"/>
              </w:rPr>
              <w:t>9,150,000</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52FC15E5" w14:textId="77777777" w:rsidR="004E7A37" w:rsidRDefault="001D2D19">
            <w:pPr>
              <w:spacing w:after="520"/>
              <w:rPr>
                <w:sz w:val="27"/>
                <w:szCs w:val="27"/>
                <w:shd w:val="clear" w:color="auto" w:fill="FCFCFC"/>
              </w:rPr>
            </w:pPr>
            <w:r>
              <w:rPr>
                <w:shd w:val="clear" w:color="auto" w:fill="FCFCFC"/>
              </w:rPr>
              <w:t>76.3</w:t>
            </w:r>
          </w:p>
        </w:tc>
      </w:tr>
      <w:tr w:rsidR="004E7A37" w14:paraId="023D817B" w14:textId="77777777">
        <w:trPr>
          <w:trHeight w:val="720"/>
        </w:trPr>
        <w:tc>
          <w:tcPr>
            <w:tcW w:w="1358"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6CFF9E0C" w14:textId="77777777" w:rsidR="004E7A37" w:rsidRDefault="001D2D19">
            <w:pPr>
              <w:spacing w:after="520"/>
              <w:rPr>
                <w:sz w:val="27"/>
                <w:szCs w:val="27"/>
                <w:shd w:val="clear" w:color="auto" w:fill="FCFCFC"/>
              </w:rPr>
            </w:pPr>
            <w:r>
              <w:rPr>
                <w:b/>
                <w:shd w:val="clear" w:color="auto" w:fill="FCFCFC"/>
              </w:rPr>
              <w:t>British Empire</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255F17F7" w14:textId="77777777" w:rsidR="004E7A37" w:rsidRDefault="001D2D19">
            <w:pPr>
              <w:spacing w:after="520"/>
              <w:rPr>
                <w:sz w:val="27"/>
                <w:szCs w:val="27"/>
                <w:shd w:val="clear" w:color="auto" w:fill="FCFCFC"/>
              </w:rPr>
            </w:pPr>
            <w:r>
              <w:rPr>
                <w:shd w:val="clear" w:color="auto" w:fill="FCFCFC"/>
              </w:rPr>
              <w:t>8,904,467</w:t>
            </w:r>
          </w:p>
        </w:tc>
        <w:tc>
          <w:tcPr>
            <w:tcW w:w="1210"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4C271DE5" w14:textId="77777777" w:rsidR="004E7A37" w:rsidRDefault="001D2D19">
            <w:pPr>
              <w:spacing w:after="520"/>
              <w:rPr>
                <w:sz w:val="27"/>
                <w:szCs w:val="27"/>
                <w:shd w:val="clear" w:color="auto" w:fill="FCFCFC"/>
              </w:rPr>
            </w:pPr>
            <w:r>
              <w:rPr>
                <w:shd w:val="clear" w:color="auto" w:fill="FCFCFC"/>
              </w:rPr>
              <w:t>908,371</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13B2B8C1" w14:textId="77777777" w:rsidR="004E7A37" w:rsidRDefault="001D2D19">
            <w:pPr>
              <w:spacing w:after="520"/>
              <w:rPr>
                <w:sz w:val="27"/>
                <w:szCs w:val="27"/>
                <w:shd w:val="clear" w:color="auto" w:fill="FCFCFC"/>
              </w:rPr>
            </w:pPr>
            <w:r>
              <w:rPr>
                <w:shd w:val="clear" w:color="auto" w:fill="FCFCFC"/>
              </w:rPr>
              <w:t>2,090,212</w:t>
            </w:r>
          </w:p>
        </w:tc>
        <w:tc>
          <w:tcPr>
            <w:tcW w:w="1223"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4A66806E" w14:textId="77777777" w:rsidR="004E7A37" w:rsidRDefault="001D2D19">
            <w:pPr>
              <w:spacing w:after="520"/>
              <w:rPr>
                <w:sz w:val="27"/>
                <w:szCs w:val="27"/>
                <w:shd w:val="clear" w:color="auto" w:fill="FCFCFC"/>
              </w:rPr>
            </w:pPr>
            <w:r>
              <w:rPr>
                <w:shd w:val="clear" w:color="auto" w:fill="FCFCFC"/>
              </w:rPr>
              <w:t>191,652</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5959DE44" w14:textId="77777777" w:rsidR="004E7A37" w:rsidRDefault="001D2D19">
            <w:pPr>
              <w:spacing w:after="520"/>
              <w:rPr>
                <w:sz w:val="27"/>
                <w:szCs w:val="27"/>
                <w:shd w:val="clear" w:color="auto" w:fill="FCFCFC"/>
              </w:rPr>
            </w:pPr>
            <w:r>
              <w:rPr>
                <w:shd w:val="clear" w:color="auto" w:fill="FCFCFC"/>
              </w:rPr>
              <w:t>3,190,235</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67B0BC87" w14:textId="77777777" w:rsidR="004E7A37" w:rsidRDefault="001D2D19">
            <w:pPr>
              <w:spacing w:after="520"/>
              <w:rPr>
                <w:sz w:val="27"/>
                <w:szCs w:val="27"/>
                <w:shd w:val="clear" w:color="auto" w:fill="FCFCFC"/>
              </w:rPr>
            </w:pPr>
            <w:r>
              <w:rPr>
                <w:shd w:val="clear" w:color="auto" w:fill="FCFCFC"/>
              </w:rPr>
              <w:t>35.8</w:t>
            </w:r>
          </w:p>
        </w:tc>
      </w:tr>
      <w:tr w:rsidR="004E7A37" w14:paraId="272D8E60" w14:textId="77777777">
        <w:trPr>
          <w:trHeight w:val="480"/>
        </w:trPr>
        <w:tc>
          <w:tcPr>
            <w:tcW w:w="1358"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0C9CF785" w14:textId="77777777" w:rsidR="004E7A37" w:rsidRDefault="001D2D19">
            <w:pPr>
              <w:spacing w:after="520"/>
              <w:rPr>
                <w:sz w:val="27"/>
                <w:szCs w:val="27"/>
                <w:shd w:val="clear" w:color="auto" w:fill="FCFCFC"/>
              </w:rPr>
            </w:pPr>
            <w:r>
              <w:rPr>
                <w:b/>
                <w:shd w:val="clear" w:color="auto" w:fill="FCFCFC"/>
              </w:rPr>
              <w:t>France</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7CD066C2" w14:textId="77777777" w:rsidR="004E7A37" w:rsidRDefault="001D2D19">
            <w:pPr>
              <w:spacing w:after="520"/>
              <w:rPr>
                <w:sz w:val="27"/>
                <w:szCs w:val="27"/>
                <w:shd w:val="clear" w:color="auto" w:fill="FCFCFC"/>
              </w:rPr>
            </w:pPr>
            <w:r>
              <w:rPr>
                <w:shd w:val="clear" w:color="auto" w:fill="FCFCFC"/>
              </w:rPr>
              <w:t>8,410,000</w:t>
            </w:r>
          </w:p>
        </w:tc>
        <w:tc>
          <w:tcPr>
            <w:tcW w:w="1210"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62030F36" w14:textId="77777777" w:rsidR="004E7A37" w:rsidRDefault="001D2D19">
            <w:pPr>
              <w:spacing w:after="520"/>
              <w:rPr>
                <w:sz w:val="27"/>
                <w:szCs w:val="27"/>
                <w:shd w:val="clear" w:color="auto" w:fill="FCFCFC"/>
              </w:rPr>
            </w:pPr>
            <w:r>
              <w:rPr>
                <w:shd w:val="clear" w:color="auto" w:fill="FCFCFC"/>
              </w:rPr>
              <w:t>1,357,800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2A6B6728" w14:textId="77777777" w:rsidR="004E7A37" w:rsidRDefault="001D2D19">
            <w:pPr>
              <w:spacing w:after="520"/>
              <w:rPr>
                <w:sz w:val="27"/>
                <w:szCs w:val="27"/>
                <w:shd w:val="clear" w:color="auto" w:fill="FCFCFC"/>
              </w:rPr>
            </w:pPr>
            <w:r>
              <w:rPr>
                <w:shd w:val="clear" w:color="auto" w:fill="FCFCFC"/>
              </w:rPr>
              <w:t>4,266,000</w:t>
            </w:r>
          </w:p>
        </w:tc>
        <w:tc>
          <w:tcPr>
            <w:tcW w:w="1223"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75612984" w14:textId="77777777" w:rsidR="004E7A37" w:rsidRDefault="001D2D19">
            <w:pPr>
              <w:spacing w:after="520"/>
              <w:rPr>
                <w:sz w:val="27"/>
                <w:szCs w:val="27"/>
                <w:shd w:val="clear" w:color="auto" w:fill="FCFCFC"/>
              </w:rPr>
            </w:pPr>
            <w:r>
              <w:rPr>
                <w:shd w:val="clear" w:color="auto" w:fill="FCFCFC"/>
              </w:rPr>
              <w:t>537,000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2B82B1CD" w14:textId="77777777" w:rsidR="004E7A37" w:rsidRDefault="001D2D19">
            <w:pPr>
              <w:spacing w:after="520"/>
              <w:rPr>
                <w:sz w:val="27"/>
                <w:szCs w:val="27"/>
                <w:shd w:val="clear" w:color="auto" w:fill="FCFCFC"/>
              </w:rPr>
            </w:pPr>
            <w:r>
              <w:rPr>
                <w:shd w:val="clear" w:color="auto" w:fill="FCFCFC"/>
              </w:rPr>
              <w:t>6,160,800</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4FEBE142" w14:textId="77777777" w:rsidR="004E7A37" w:rsidRDefault="001D2D19">
            <w:pPr>
              <w:spacing w:after="520"/>
              <w:rPr>
                <w:sz w:val="27"/>
                <w:szCs w:val="27"/>
                <w:shd w:val="clear" w:color="auto" w:fill="FCFCFC"/>
              </w:rPr>
            </w:pPr>
            <w:r>
              <w:rPr>
                <w:shd w:val="clear" w:color="auto" w:fill="FCFCFC"/>
              </w:rPr>
              <w:t>73.3</w:t>
            </w:r>
          </w:p>
        </w:tc>
      </w:tr>
      <w:tr w:rsidR="004E7A37" w14:paraId="49A4A319" w14:textId="77777777">
        <w:trPr>
          <w:trHeight w:val="480"/>
        </w:trPr>
        <w:tc>
          <w:tcPr>
            <w:tcW w:w="1358"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19BBB3D9" w14:textId="77777777" w:rsidR="004E7A37" w:rsidRDefault="001D2D19">
            <w:pPr>
              <w:spacing w:after="520"/>
              <w:rPr>
                <w:sz w:val="27"/>
                <w:szCs w:val="27"/>
                <w:shd w:val="clear" w:color="auto" w:fill="FCFCFC"/>
              </w:rPr>
            </w:pPr>
            <w:r>
              <w:rPr>
                <w:b/>
                <w:shd w:val="clear" w:color="auto" w:fill="FCFCFC"/>
              </w:rPr>
              <w:t>Italy</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50EF3D6F" w14:textId="77777777" w:rsidR="004E7A37" w:rsidRDefault="001D2D19">
            <w:pPr>
              <w:spacing w:after="520"/>
              <w:rPr>
                <w:sz w:val="27"/>
                <w:szCs w:val="27"/>
                <w:shd w:val="clear" w:color="auto" w:fill="FCFCFC"/>
              </w:rPr>
            </w:pPr>
            <w:r>
              <w:rPr>
                <w:shd w:val="clear" w:color="auto" w:fill="FCFCFC"/>
              </w:rPr>
              <w:t>5,615,000</w:t>
            </w:r>
          </w:p>
        </w:tc>
        <w:tc>
          <w:tcPr>
            <w:tcW w:w="1210"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0514AE9C" w14:textId="77777777" w:rsidR="004E7A37" w:rsidRDefault="001D2D19">
            <w:pPr>
              <w:spacing w:after="520"/>
              <w:rPr>
                <w:sz w:val="27"/>
                <w:szCs w:val="27"/>
                <w:shd w:val="clear" w:color="auto" w:fill="FCFCFC"/>
              </w:rPr>
            </w:pPr>
            <w:r>
              <w:rPr>
                <w:shd w:val="clear" w:color="auto" w:fill="FCFCFC"/>
              </w:rPr>
              <w:t>650,000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057B3DA3" w14:textId="77777777" w:rsidR="004E7A37" w:rsidRDefault="001D2D19">
            <w:pPr>
              <w:spacing w:after="520"/>
              <w:rPr>
                <w:sz w:val="27"/>
                <w:szCs w:val="27"/>
                <w:shd w:val="clear" w:color="auto" w:fill="FCFCFC"/>
              </w:rPr>
            </w:pPr>
            <w:r>
              <w:rPr>
                <w:shd w:val="clear" w:color="auto" w:fill="FCFCFC"/>
              </w:rPr>
              <w:t>947,000</w:t>
            </w:r>
          </w:p>
        </w:tc>
        <w:tc>
          <w:tcPr>
            <w:tcW w:w="1223"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63F85B12" w14:textId="77777777" w:rsidR="004E7A37" w:rsidRDefault="001D2D19">
            <w:pPr>
              <w:spacing w:after="520"/>
              <w:rPr>
                <w:sz w:val="27"/>
                <w:szCs w:val="27"/>
                <w:shd w:val="clear" w:color="auto" w:fill="FCFCFC"/>
              </w:rPr>
            </w:pPr>
            <w:r>
              <w:rPr>
                <w:shd w:val="clear" w:color="auto" w:fill="FCFCFC"/>
              </w:rPr>
              <w:t>600,000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49CABEF8" w14:textId="77777777" w:rsidR="004E7A37" w:rsidRDefault="001D2D19">
            <w:pPr>
              <w:spacing w:after="520"/>
              <w:rPr>
                <w:sz w:val="27"/>
                <w:szCs w:val="27"/>
                <w:shd w:val="clear" w:color="auto" w:fill="FCFCFC"/>
              </w:rPr>
            </w:pPr>
            <w:r>
              <w:rPr>
                <w:shd w:val="clear" w:color="auto" w:fill="FCFCFC"/>
              </w:rPr>
              <w:t>2,197,000</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020D0C7C" w14:textId="77777777" w:rsidR="004E7A37" w:rsidRDefault="001D2D19">
            <w:pPr>
              <w:spacing w:after="520"/>
              <w:rPr>
                <w:sz w:val="27"/>
                <w:szCs w:val="27"/>
                <w:shd w:val="clear" w:color="auto" w:fill="FCFCFC"/>
              </w:rPr>
            </w:pPr>
            <w:r>
              <w:rPr>
                <w:shd w:val="clear" w:color="auto" w:fill="FCFCFC"/>
              </w:rPr>
              <w:t>39.1</w:t>
            </w:r>
          </w:p>
        </w:tc>
      </w:tr>
      <w:tr w:rsidR="004E7A37" w14:paraId="60FAADF5" w14:textId="77777777">
        <w:trPr>
          <w:trHeight w:val="720"/>
        </w:trPr>
        <w:tc>
          <w:tcPr>
            <w:tcW w:w="1358"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4C11DCD0" w14:textId="77777777" w:rsidR="004E7A37" w:rsidRDefault="001D2D19">
            <w:pPr>
              <w:spacing w:after="520"/>
              <w:rPr>
                <w:sz w:val="27"/>
                <w:szCs w:val="27"/>
                <w:shd w:val="clear" w:color="auto" w:fill="FCFCFC"/>
              </w:rPr>
            </w:pPr>
            <w:r>
              <w:rPr>
                <w:b/>
                <w:shd w:val="clear" w:color="auto" w:fill="FCFCFC"/>
              </w:rPr>
              <w:t>United States</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6450E32A" w14:textId="77777777" w:rsidR="004E7A37" w:rsidRDefault="001D2D19">
            <w:pPr>
              <w:spacing w:after="520"/>
              <w:rPr>
                <w:sz w:val="27"/>
                <w:szCs w:val="27"/>
                <w:shd w:val="clear" w:color="auto" w:fill="FCFCFC"/>
              </w:rPr>
            </w:pPr>
            <w:r>
              <w:rPr>
                <w:shd w:val="clear" w:color="auto" w:fill="FCFCFC"/>
              </w:rPr>
              <w:t>4,355,000</w:t>
            </w:r>
          </w:p>
        </w:tc>
        <w:tc>
          <w:tcPr>
            <w:tcW w:w="1210"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0E27A6AA" w14:textId="77777777" w:rsidR="004E7A37" w:rsidRDefault="001D2D19">
            <w:pPr>
              <w:spacing w:after="520"/>
              <w:rPr>
                <w:sz w:val="27"/>
                <w:szCs w:val="27"/>
                <w:shd w:val="clear" w:color="auto" w:fill="FCFCFC"/>
              </w:rPr>
            </w:pPr>
            <w:r>
              <w:rPr>
                <w:shd w:val="clear" w:color="auto" w:fill="FCFCFC"/>
              </w:rPr>
              <w:t>116,516</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22318A85" w14:textId="77777777" w:rsidR="004E7A37" w:rsidRDefault="001D2D19">
            <w:pPr>
              <w:spacing w:after="520"/>
              <w:rPr>
                <w:sz w:val="27"/>
                <w:szCs w:val="27"/>
                <w:shd w:val="clear" w:color="auto" w:fill="FCFCFC"/>
              </w:rPr>
            </w:pPr>
            <w:r>
              <w:rPr>
                <w:shd w:val="clear" w:color="auto" w:fill="FCFCFC"/>
              </w:rPr>
              <w:t>204,002</w:t>
            </w:r>
          </w:p>
        </w:tc>
        <w:tc>
          <w:tcPr>
            <w:tcW w:w="1223"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619BE416" w14:textId="77777777" w:rsidR="004E7A37" w:rsidRDefault="001D2D19">
            <w:pPr>
              <w:spacing w:after="520"/>
              <w:rPr>
                <w:sz w:val="27"/>
                <w:szCs w:val="27"/>
                <w:shd w:val="clear" w:color="auto" w:fill="FCFCFC"/>
              </w:rPr>
            </w:pPr>
            <w:r>
              <w:rPr>
                <w:shd w:val="clear" w:color="auto" w:fill="FCFCFC"/>
              </w:rPr>
              <w:t>4,500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3489FCAE" w14:textId="77777777" w:rsidR="004E7A37" w:rsidRDefault="001D2D19">
            <w:pPr>
              <w:spacing w:after="520"/>
              <w:rPr>
                <w:sz w:val="27"/>
                <w:szCs w:val="27"/>
                <w:shd w:val="clear" w:color="auto" w:fill="FCFCFC"/>
              </w:rPr>
            </w:pPr>
            <w:r>
              <w:rPr>
                <w:shd w:val="clear" w:color="auto" w:fill="FCFCFC"/>
              </w:rPr>
              <w:t>323,018</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2CAF6D23" w14:textId="77777777" w:rsidR="004E7A37" w:rsidRDefault="001D2D19">
            <w:pPr>
              <w:spacing w:after="520"/>
              <w:rPr>
                <w:sz w:val="27"/>
                <w:szCs w:val="27"/>
                <w:shd w:val="clear" w:color="auto" w:fill="FCFCFC"/>
              </w:rPr>
            </w:pPr>
            <w:r>
              <w:rPr>
                <w:shd w:val="clear" w:color="auto" w:fill="FCFCFC"/>
              </w:rPr>
              <w:t>8.1</w:t>
            </w:r>
          </w:p>
        </w:tc>
      </w:tr>
      <w:tr w:rsidR="004E7A37" w14:paraId="4FC378A3" w14:textId="77777777">
        <w:trPr>
          <w:trHeight w:val="480"/>
        </w:trPr>
        <w:tc>
          <w:tcPr>
            <w:tcW w:w="1358"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0BF06C78" w14:textId="77777777" w:rsidR="004E7A37" w:rsidRDefault="001D2D19">
            <w:pPr>
              <w:spacing w:after="520"/>
              <w:rPr>
                <w:sz w:val="27"/>
                <w:szCs w:val="27"/>
                <w:shd w:val="clear" w:color="auto" w:fill="FCFCFC"/>
              </w:rPr>
            </w:pPr>
            <w:r>
              <w:rPr>
                <w:b/>
                <w:shd w:val="clear" w:color="auto" w:fill="FCFCFC"/>
              </w:rPr>
              <w:t>Japan</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217DF09E" w14:textId="77777777" w:rsidR="004E7A37" w:rsidRDefault="001D2D19">
            <w:pPr>
              <w:spacing w:after="520"/>
              <w:rPr>
                <w:sz w:val="27"/>
                <w:szCs w:val="27"/>
                <w:shd w:val="clear" w:color="auto" w:fill="FCFCFC"/>
              </w:rPr>
            </w:pPr>
            <w:r>
              <w:rPr>
                <w:shd w:val="clear" w:color="auto" w:fill="FCFCFC"/>
              </w:rPr>
              <w:t>800,000</w:t>
            </w:r>
          </w:p>
        </w:tc>
        <w:tc>
          <w:tcPr>
            <w:tcW w:w="1210"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778499A3" w14:textId="77777777" w:rsidR="004E7A37" w:rsidRDefault="001D2D19">
            <w:pPr>
              <w:spacing w:after="520"/>
              <w:rPr>
                <w:sz w:val="27"/>
                <w:szCs w:val="27"/>
                <w:shd w:val="clear" w:color="auto" w:fill="FCFCFC"/>
              </w:rPr>
            </w:pPr>
            <w:r>
              <w:rPr>
                <w:shd w:val="clear" w:color="auto" w:fill="FCFCFC"/>
              </w:rPr>
              <w:t>300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350703EB" w14:textId="77777777" w:rsidR="004E7A37" w:rsidRDefault="001D2D19">
            <w:pPr>
              <w:spacing w:after="520"/>
              <w:rPr>
                <w:sz w:val="27"/>
                <w:szCs w:val="27"/>
                <w:shd w:val="clear" w:color="auto" w:fill="FCFCFC"/>
              </w:rPr>
            </w:pPr>
            <w:r>
              <w:rPr>
                <w:shd w:val="clear" w:color="auto" w:fill="FCFCFC"/>
              </w:rPr>
              <w:t>907</w:t>
            </w:r>
          </w:p>
        </w:tc>
        <w:tc>
          <w:tcPr>
            <w:tcW w:w="1223"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692E1207" w14:textId="77777777" w:rsidR="004E7A37" w:rsidRDefault="001D2D19">
            <w:pPr>
              <w:spacing w:after="520"/>
              <w:rPr>
                <w:sz w:val="27"/>
                <w:szCs w:val="27"/>
                <w:shd w:val="clear" w:color="auto" w:fill="FCFCFC"/>
              </w:rPr>
            </w:pPr>
            <w:r>
              <w:rPr>
                <w:shd w:val="clear" w:color="auto" w:fill="FCFCFC"/>
              </w:rPr>
              <w:t>3</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27769792" w14:textId="77777777" w:rsidR="004E7A37" w:rsidRDefault="001D2D19">
            <w:pPr>
              <w:spacing w:after="520"/>
              <w:rPr>
                <w:sz w:val="27"/>
                <w:szCs w:val="27"/>
                <w:shd w:val="clear" w:color="auto" w:fill="FCFCFC"/>
              </w:rPr>
            </w:pPr>
            <w:r>
              <w:rPr>
                <w:shd w:val="clear" w:color="auto" w:fill="FCFCFC"/>
              </w:rPr>
              <w:t>1,210</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0BA18DA4" w14:textId="77777777" w:rsidR="004E7A37" w:rsidRDefault="001D2D19">
            <w:pPr>
              <w:spacing w:after="520"/>
              <w:rPr>
                <w:sz w:val="27"/>
                <w:szCs w:val="27"/>
                <w:shd w:val="clear" w:color="auto" w:fill="FCFCFC"/>
              </w:rPr>
            </w:pPr>
            <w:r>
              <w:rPr>
                <w:shd w:val="clear" w:color="auto" w:fill="FCFCFC"/>
              </w:rPr>
              <w:t>0.2</w:t>
            </w:r>
          </w:p>
        </w:tc>
      </w:tr>
      <w:tr w:rsidR="004E7A37" w14:paraId="5D9C169D" w14:textId="77777777">
        <w:trPr>
          <w:trHeight w:val="480"/>
        </w:trPr>
        <w:tc>
          <w:tcPr>
            <w:tcW w:w="1358"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18F7D790" w14:textId="77777777" w:rsidR="004E7A37" w:rsidRDefault="001D2D19">
            <w:pPr>
              <w:spacing w:after="520"/>
              <w:rPr>
                <w:sz w:val="27"/>
                <w:szCs w:val="27"/>
                <w:shd w:val="clear" w:color="auto" w:fill="FCFCFC"/>
              </w:rPr>
            </w:pPr>
            <w:r>
              <w:rPr>
                <w:b/>
                <w:shd w:val="clear" w:color="auto" w:fill="FCFCFC"/>
              </w:rPr>
              <w:t>Romania</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77157AB0" w14:textId="77777777" w:rsidR="004E7A37" w:rsidRDefault="001D2D19">
            <w:pPr>
              <w:spacing w:after="520"/>
              <w:rPr>
                <w:sz w:val="27"/>
                <w:szCs w:val="27"/>
                <w:shd w:val="clear" w:color="auto" w:fill="FCFCFC"/>
              </w:rPr>
            </w:pPr>
            <w:r>
              <w:rPr>
                <w:shd w:val="clear" w:color="auto" w:fill="FCFCFC"/>
              </w:rPr>
              <w:t>750,000</w:t>
            </w:r>
          </w:p>
        </w:tc>
        <w:tc>
          <w:tcPr>
            <w:tcW w:w="1210"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0E10A7CE" w14:textId="77777777" w:rsidR="004E7A37" w:rsidRDefault="001D2D19">
            <w:pPr>
              <w:spacing w:after="520"/>
              <w:rPr>
                <w:sz w:val="27"/>
                <w:szCs w:val="27"/>
                <w:shd w:val="clear" w:color="auto" w:fill="FCFCFC"/>
              </w:rPr>
            </w:pPr>
            <w:r>
              <w:rPr>
                <w:shd w:val="clear" w:color="auto" w:fill="FCFCFC"/>
              </w:rPr>
              <w:t>335,706</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300232AC" w14:textId="77777777" w:rsidR="004E7A37" w:rsidRDefault="001D2D19">
            <w:pPr>
              <w:spacing w:after="520"/>
              <w:rPr>
                <w:sz w:val="27"/>
                <w:szCs w:val="27"/>
                <w:shd w:val="clear" w:color="auto" w:fill="FCFCFC"/>
              </w:rPr>
            </w:pPr>
            <w:r>
              <w:rPr>
                <w:shd w:val="clear" w:color="auto" w:fill="FCFCFC"/>
              </w:rPr>
              <w:t>120,000</w:t>
            </w:r>
          </w:p>
        </w:tc>
        <w:tc>
          <w:tcPr>
            <w:tcW w:w="1223"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5F5ECA19" w14:textId="77777777" w:rsidR="004E7A37" w:rsidRDefault="001D2D19">
            <w:pPr>
              <w:spacing w:after="520"/>
              <w:rPr>
                <w:sz w:val="27"/>
                <w:szCs w:val="27"/>
                <w:shd w:val="clear" w:color="auto" w:fill="FCFCFC"/>
              </w:rPr>
            </w:pPr>
            <w:r>
              <w:rPr>
                <w:shd w:val="clear" w:color="auto" w:fill="FCFCFC"/>
              </w:rPr>
              <w:t>80,000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527C0436" w14:textId="77777777" w:rsidR="004E7A37" w:rsidRDefault="001D2D19">
            <w:pPr>
              <w:spacing w:after="520"/>
              <w:rPr>
                <w:sz w:val="27"/>
                <w:szCs w:val="27"/>
                <w:shd w:val="clear" w:color="auto" w:fill="FCFCFC"/>
              </w:rPr>
            </w:pPr>
            <w:r>
              <w:rPr>
                <w:shd w:val="clear" w:color="auto" w:fill="FCFCFC"/>
              </w:rPr>
              <w:t>535,706</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7ABA715E" w14:textId="77777777" w:rsidR="004E7A37" w:rsidRDefault="001D2D19">
            <w:pPr>
              <w:spacing w:after="520"/>
              <w:rPr>
                <w:sz w:val="27"/>
                <w:szCs w:val="27"/>
                <w:shd w:val="clear" w:color="auto" w:fill="FCFCFC"/>
              </w:rPr>
            </w:pPr>
            <w:r>
              <w:rPr>
                <w:shd w:val="clear" w:color="auto" w:fill="FCFCFC"/>
              </w:rPr>
              <w:t>71.4</w:t>
            </w:r>
          </w:p>
        </w:tc>
      </w:tr>
      <w:tr w:rsidR="004E7A37" w14:paraId="4D3E3191" w14:textId="77777777">
        <w:trPr>
          <w:trHeight w:val="480"/>
        </w:trPr>
        <w:tc>
          <w:tcPr>
            <w:tcW w:w="1358"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481C5B6D" w14:textId="77777777" w:rsidR="004E7A37" w:rsidRDefault="001D2D19">
            <w:pPr>
              <w:spacing w:after="520"/>
              <w:rPr>
                <w:sz w:val="27"/>
                <w:szCs w:val="27"/>
                <w:shd w:val="clear" w:color="auto" w:fill="FCFCFC"/>
              </w:rPr>
            </w:pPr>
            <w:r>
              <w:rPr>
                <w:b/>
                <w:shd w:val="clear" w:color="auto" w:fill="FCFCFC"/>
              </w:rPr>
              <w:lastRenderedPageBreak/>
              <w:t>Serbia</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02EC4F00" w14:textId="77777777" w:rsidR="004E7A37" w:rsidRDefault="001D2D19">
            <w:pPr>
              <w:spacing w:after="520"/>
              <w:rPr>
                <w:sz w:val="27"/>
                <w:szCs w:val="27"/>
                <w:shd w:val="clear" w:color="auto" w:fill="FCFCFC"/>
              </w:rPr>
            </w:pPr>
            <w:r>
              <w:rPr>
                <w:shd w:val="clear" w:color="auto" w:fill="FCFCFC"/>
              </w:rPr>
              <w:t>707,343</w:t>
            </w:r>
          </w:p>
        </w:tc>
        <w:tc>
          <w:tcPr>
            <w:tcW w:w="1210"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3E9F63C7" w14:textId="77777777" w:rsidR="004E7A37" w:rsidRDefault="001D2D19">
            <w:pPr>
              <w:spacing w:after="520"/>
              <w:rPr>
                <w:sz w:val="27"/>
                <w:szCs w:val="27"/>
                <w:shd w:val="clear" w:color="auto" w:fill="FCFCFC"/>
              </w:rPr>
            </w:pPr>
            <w:r>
              <w:rPr>
                <w:shd w:val="clear" w:color="auto" w:fill="FCFCFC"/>
              </w:rPr>
              <w:t>45,000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03C3ACA7" w14:textId="77777777" w:rsidR="004E7A37" w:rsidRDefault="001D2D19">
            <w:pPr>
              <w:spacing w:after="520"/>
              <w:rPr>
                <w:sz w:val="27"/>
                <w:szCs w:val="27"/>
                <w:shd w:val="clear" w:color="auto" w:fill="FCFCFC"/>
              </w:rPr>
            </w:pPr>
            <w:r>
              <w:rPr>
                <w:shd w:val="clear" w:color="auto" w:fill="FCFCFC"/>
              </w:rPr>
              <w:t>133,148</w:t>
            </w:r>
          </w:p>
        </w:tc>
        <w:tc>
          <w:tcPr>
            <w:tcW w:w="1223"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04C3479B" w14:textId="77777777" w:rsidR="004E7A37" w:rsidRDefault="001D2D19">
            <w:pPr>
              <w:spacing w:after="520"/>
              <w:rPr>
                <w:sz w:val="27"/>
                <w:szCs w:val="27"/>
                <w:shd w:val="clear" w:color="auto" w:fill="FCFCFC"/>
              </w:rPr>
            </w:pPr>
            <w:r>
              <w:rPr>
                <w:shd w:val="clear" w:color="auto" w:fill="FCFCFC"/>
              </w:rPr>
              <w:t>152,958</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529EBCFB" w14:textId="77777777" w:rsidR="004E7A37" w:rsidRDefault="001D2D19">
            <w:pPr>
              <w:spacing w:after="520"/>
              <w:rPr>
                <w:sz w:val="27"/>
                <w:szCs w:val="27"/>
                <w:shd w:val="clear" w:color="auto" w:fill="FCFCFC"/>
              </w:rPr>
            </w:pPr>
            <w:r>
              <w:rPr>
                <w:shd w:val="clear" w:color="auto" w:fill="FCFCFC"/>
              </w:rPr>
              <w:t>331,106</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2EC4C173" w14:textId="77777777" w:rsidR="004E7A37" w:rsidRDefault="001D2D19">
            <w:pPr>
              <w:spacing w:after="520"/>
              <w:rPr>
                <w:sz w:val="27"/>
                <w:szCs w:val="27"/>
                <w:shd w:val="clear" w:color="auto" w:fill="FCFCFC"/>
              </w:rPr>
            </w:pPr>
            <w:r>
              <w:rPr>
                <w:shd w:val="clear" w:color="auto" w:fill="FCFCFC"/>
              </w:rPr>
              <w:t>46.8</w:t>
            </w:r>
          </w:p>
        </w:tc>
      </w:tr>
      <w:tr w:rsidR="004E7A37" w14:paraId="62B7589F" w14:textId="77777777">
        <w:trPr>
          <w:trHeight w:val="480"/>
        </w:trPr>
        <w:tc>
          <w:tcPr>
            <w:tcW w:w="1358"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66006AE1" w14:textId="77777777" w:rsidR="004E7A37" w:rsidRDefault="001D2D19">
            <w:pPr>
              <w:spacing w:after="520"/>
              <w:rPr>
                <w:sz w:val="27"/>
                <w:szCs w:val="27"/>
                <w:shd w:val="clear" w:color="auto" w:fill="FCFCFC"/>
              </w:rPr>
            </w:pPr>
            <w:r>
              <w:rPr>
                <w:b/>
                <w:shd w:val="clear" w:color="auto" w:fill="FCFCFC"/>
              </w:rPr>
              <w:t>Belgium</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39112676" w14:textId="77777777" w:rsidR="004E7A37" w:rsidRDefault="001D2D19">
            <w:pPr>
              <w:spacing w:after="520"/>
              <w:rPr>
                <w:sz w:val="27"/>
                <w:szCs w:val="27"/>
                <w:shd w:val="clear" w:color="auto" w:fill="FCFCFC"/>
              </w:rPr>
            </w:pPr>
            <w:r>
              <w:rPr>
                <w:shd w:val="clear" w:color="auto" w:fill="FCFCFC"/>
              </w:rPr>
              <w:t>267,000</w:t>
            </w:r>
          </w:p>
        </w:tc>
        <w:tc>
          <w:tcPr>
            <w:tcW w:w="1210"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61FD45D8" w14:textId="77777777" w:rsidR="004E7A37" w:rsidRDefault="001D2D19">
            <w:pPr>
              <w:spacing w:after="520"/>
              <w:rPr>
                <w:sz w:val="27"/>
                <w:szCs w:val="27"/>
                <w:shd w:val="clear" w:color="auto" w:fill="FCFCFC"/>
              </w:rPr>
            </w:pPr>
            <w:r>
              <w:rPr>
                <w:shd w:val="clear" w:color="auto" w:fill="FCFCFC"/>
              </w:rPr>
              <w:t>13,716</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4C6D6C86" w14:textId="77777777" w:rsidR="004E7A37" w:rsidRDefault="001D2D19">
            <w:pPr>
              <w:spacing w:after="520"/>
              <w:rPr>
                <w:sz w:val="27"/>
                <w:szCs w:val="27"/>
                <w:shd w:val="clear" w:color="auto" w:fill="FCFCFC"/>
              </w:rPr>
            </w:pPr>
            <w:r>
              <w:rPr>
                <w:shd w:val="clear" w:color="auto" w:fill="FCFCFC"/>
              </w:rPr>
              <w:t>44,686</w:t>
            </w:r>
          </w:p>
        </w:tc>
        <w:tc>
          <w:tcPr>
            <w:tcW w:w="1223"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1CE93097" w14:textId="77777777" w:rsidR="004E7A37" w:rsidRDefault="001D2D19">
            <w:pPr>
              <w:spacing w:after="520"/>
              <w:rPr>
                <w:sz w:val="27"/>
                <w:szCs w:val="27"/>
                <w:shd w:val="clear" w:color="auto" w:fill="FCFCFC"/>
              </w:rPr>
            </w:pPr>
            <w:r>
              <w:rPr>
                <w:shd w:val="clear" w:color="auto" w:fill="FCFCFC"/>
              </w:rPr>
              <w:t>34,659</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38F9D783" w14:textId="77777777" w:rsidR="004E7A37" w:rsidRDefault="001D2D19">
            <w:pPr>
              <w:spacing w:after="520"/>
              <w:rPr>
                <w:sz w:val="27"/>
                <w:szCs w:val="27"/>
                <w:shd w:val="clear" w:color="auto" w:fill="FCFCFC"/>
              </w:rPr>
            </w:pPr>
            <w:r>
              <w:rPr>
                <w:shd w:val="clear" w:color="auto" w:fill="FCFCFC"/>
              </w:rPr>
              <w:t>93,061</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63CDA171" w14:textId="77777777" w:rsidR="004E7A37" w:rsidRDefault="001D2D19">
            <w:pPr>
              <w:spacing w:after="520"/>
              <w:rPr>
                <w:sz w:val="27"/>
                <w:szCs w:val="27"/>
                <w:shd w:val="clear" w:color="auto" w:fill="FCFCFC"/>
              </w:rPr>
            </w:pPr>
            <w:r>
              <w:rPr>
                <w:shd w:val="clear" w:color="auto" w:fill="FCFCFC"/>
              </w:rPr>
              <w:t>34.9</w:t>
            </w:r>
          </w:p>
        </w:tc>
      </w:tr>
      <w:tr w:rsidR="004E7A37" w14:paraId="5819CAF9" w14:textId="77777777">
        <w:trPr>
          <w:trHeight w:val="480"/>
        </w:trPr>
        <w:tc>
          <w:tcPr>
            <w:tcW w:w="1358"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2ECFAD2B" w14:textId="77777777" w:rsidR="004E7A37" w:rsidRDefault="001D2D19">
            <w:pPr>
              <w:spacing w:after="520"/>
              <w:rPr>
                <w:sz w:val="27"/>
                <w:szCs w:val="27"/>
                <w:shd w:val="clear" w:color="auto" w:fill="FCFCFC"/>
              </w:rPr>
            </w:pPr>
            <w:r>
              <w:rPr>
                <w:b/>
                <w:shd w:val="clear" w:color="auto" w:fill="FCFCFC"/>
              </w:rPr>
              <w:t>Greece</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7033298D" w14:textId="77777777" w:rsidR="004E7A37" w:rsidRDefault="001D2D19">
            <w:pPr>
              <w:spacing w:after="520"/>
              <w:rPr>
                <w:sz w:val="27"/>
                <w:szCs w:val="27"/>
                <w:shd w:val="clear" w:color="auto" w:fill="FCFCFC"/>
              </w:rPr>
            </w:pPr>
            <w:r>
              <w:rPr>
                <w:shd w:val="clear" w:color="auto" w:fill="FCFCFC"/>
              </w:rPr>
              <w:t>230,000</w:t>
            </w:r>
          </w:p>
        </w:tc>
        <w:tc>
          <w:tcPr>
            <w:tcW w:w="1210"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75CE0BBE" w14:textId="77777777" w:rsidR="004E7A37" w:rsidRDefault="001D2D19">
            <w:pPr>
              <w:spacing w:after="520"/>
              <w:rPr>
                <w:sz w:val="27"/>
                <w:szCs w:val="27"/>
                <w:shd w:val="clear" w:color="auto" w:fill="FCFCFC"/>
              </w:rPr>
            </w:pPr>
            <w:r>
              <w:rPr>
                <w:shd w:val="clear" w:color="auto" w:fill="FCFCFC"/>
              </w:rPr>
              <w:t>5,000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7CA56C3C" w14:textId="77777777" w:rsidR="004E7A37" w:rsidRDefault="001D2D19">
            <w:pPr>
              <w:spacing w:after="520"/>
              <w:rPr>
                <w:sz w:val="27"/>
                <w:szCs w:val="27"/>
                <w:shd w:val="clear" w:color="auto" w:fill="FCFCFC"/>
              </w:rPr>
            </w:pPr>
            <w:r>
              <w:rPr>
                <w:shd w:val="clear" w:color="auto" w:fill="FCFCFC"/>
              </w:rPr>
              <w:t>21,000</w:t>
            </w:r>
          </w:p>
        </w:tc>
        <w:tc>
          <w:tcPr>
            <w:tcW w:w="1223"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71362F82" w14:textId="77777777" w:rsidR="004E7A37" w:rsidRDefault="001D2D19">
            <w:pPr>
              <w:spacing w:after="520"/>
              <w:rPr>
                <w:sz w:val="27"/>
                <w:szCs w:val="27"/>
                <w:shd w:val="clear" w:color="auto" w:fill="FCFCFC"/>
              </w:rPr>
            </w:pPr>
            <w:r>
              <w:rPr>
                <w:shd w:val="clear" w:color="auto" w:fill="FCFCFC"/>
              </w:rPr>
              <w:t>1,000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46C975DA" w14:textId="77777777" w:rsidR="004E7A37" w:rsidRDefault="001D2D19">
            <w:pPr>
              <w:spacing w:after="520"/>
              <w:rPr>
                <w:sz w:val="27"/>
                <w:szCs w:val="27"/>
                <w:shd w:val="clear" w:color="auto" w:fill="FCFCFC"/>
              </w:rPr>
            </w:pPr>
            <w:r>
              <w:rPr>
                <w:shd w:val="clear" w:color="auto" w:fill="FCFCFC"/>
              </w:rPr>
              <w:t>27,000</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39BB0E21" w14:textId="77777777" w:rsidR="004E7A37" w:rsidRDefault="001D2D19">
            <w:pPr>
              <w:spacing w:after="520"/>
              <w:rPr>
                <w:sz w:val="27"/>
                <w:szCs w:val="27"/>
                <w:shd w:val="clear" w:color="auto" w:fill="FCFCFC"/>
              </w:rPr>
            </w:pPr>
            <w:r>
              <w:rPr>
                <w:shd w:val="clear" w:color="auto" w:fill="FCFCFC"/>
              </w:rPr>
              <w:t>11.7</w:t>
            </w:r>
          </w:p>
        </w:tc>
      </w:tr>
      <w:tr w:rsidR="004E7A37" w14:paraId="5B8142A3" w14:textId="77777777">
        <w:trPr>
          <w:trHeight w:val="480"/>
        </w:trPr>
        <w:tc>
          <w:tcPr>
            <w:tcW w:w="1358"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708C9B21" w14:textId="77777777" w:rsidR="004E7A37" w:rsidRDefault="001D2D19">
            <w:pPr>
              <w:spacing w:after="520"/>
              <w:rPr>
                <w:sz w:val="27"/>
                <w:szCs w:val="27"/>
                <w:shd w:val="clear" w:color="auto" w:fill="FCFCFC"/>
              </w:rPr>
            </w:pPr>
            <w:r>
              <w:rPr>
                <w:b/>
                <w:shd w:val="clear" w:color="auto" w:fill="FCFCFC"/>
              </w:rPr>
              <w:t>Portugal</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5D2837AC" w14:textId="77777777" w:rsidR="004E7A37" w:rsidRDefault="001D2D19">
            <w:pPr>
              <w:spacing w:after="520"/>
              <w:rPr>
                <w:sz w:val="27"/>
                <w:szCs w:val="27"/>
                <w:shd w:val="clear" w:color="auto" w:fill="FCFCFC"/>
              </w:rPr>
            </w:pPr>
            <w:r>
              <w:rPr>
                <w:shd w:val="clear" w:color="auto" w:fill="FCFCFC"/>
              </w:rPr>
              <w:t>100,000</w:t>
            </w:r>
          </w:p>
        </w:tc>
        <w:tc>
          <w:tcPr>
            <w:tcW w:w="1210"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6AECB6E5" w14:textId="77777777" w:rsidR="004E7A37" w:rsidRDefault="001D2D19">
            <w:pPr>
              <w:spacing w:after="520"/>
              <w:rPr>
                <w:sz w:val="27"/>
                <w:szCs w:val="27"/>
                <w:shd w:val="clear" w:color="auto" w:fill="FCFCFC"/>
              </w:rPr>
            </w:pPr>
            <w:r>
              <w:rPr>
                <w:shd w:val="clear" w:color="auto" w:fill="FCFCFC"/>
              </w:rPr>
              <w:t>7,222</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1631613C" w14:textId="77777777" w:rsidR="004E7A37" w:rsidRDefault="001D2D19">
            <w:pPr>
              <w:spacing w:after="520"/>
              <w:rPr>
                <w:sz w:val="27"/>
                <w:szCs w:val="27"/>
                <w:shd w:val="clear" w:color="auto" w:fill="FCFCFC"/>
              </w:rPr>
            </w:pPr>
            <w:r>
              <w:rPr>
                <w:shd w:val="clear" w:color="auto" w:fill="FCFCFC"/>
              </w:rPr>
              <w:t>13,751</w:t>
            </w:r>
          </w:p>
        </w:tc>
        <w:tc>
          <w:tcPr>
            <w:tcW w:w="1223"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7F6BFFF4" w14:textId="77777777" w:rsidR="004E7A37" w:rsidRDefault="001D2D19">
            <w:pPr>
              <w:spacing w:after="520"/>
              <w:rPr>
                <w:sz w:val="27"/>
                <w:szCs w:val="27"/>
                <w:shd w:val="clear" w:color="auto" w:fill="FCFCFC"/>
              </w:rPr>
            </w:pPr>
            <w:r>
              <w:rPr>
                <w:shd w:val="clear" w:color="auto" w:fill="FCFCFC"/>
              </w:rPr>
              <w:t>12,318</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6D472694" w14:textId="77777777" w:rsidR="004E7A37" w:rsidRDefault="001D2D19">
            <w:pPr>
              <w:spacing w:after="520"/>
              <w:rPr>
                <w:sz w:val="27"/>
                <w:szCs w:val="27"/>
                <w:shd w:val="clear" w:color="auto" w:fill="FCFCFC"/>
              </w:rPr>
            </w:pPr>
            <w:r>
              <w:rPr>
                <w:shd w:val="clear" w:color="auto" w:fill="FCFCFC"/>
              </w:rPr>
              <w:t>33,291</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5D9FEE2E" w14:textId="77777777" w:rsidR="004E7A37" w:rsidRDefault="001D2D19">
            <w:pPr>
              <w:spacing w:after="520"/>
              <w:rPr>
                <w:sz w:val="27"/>
                <w:szCs w:val="27"/>
                <w:shd w:val="clear" w:color="auto" w:fill="FCFCFC"/>
              </w:rPr>
            </w:pPr>
            <w:r>
              <w:rPr>
                <w:shd w:val="clear" w:color="auto" w:fill="FCFCFC"/>
              </w:rPr>
              <w:t>33.3</w:t>
            </w:r>
          </w:p>
        </w:tc>
      </w:tr>
      <w:tr w:rsidR="004E7A37" w14:paraId="3AE18B18" w14:textId="77777777">
        <w:trPr>
          <w:trHeight w:val="480"/>
        </w:trPr>
        <w:tc>
          <w:tcPr>
            <w:tcW w:w="1358"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08E63E96" w14:textId="77777777" w:rsidR="004E7A37" w:rsidRDefault="001D2D19">
            <w:pPr>
              <w:spacing w:after="520"/>
              <w:rPr>
                <w:sz w:val="27"/>
                <w:szCs w:val="27"/>
                <w:shd w:val="clear" w:color="auto" w:fill="FCFCFC"/>
              </w:rPr>
            </w:pPr>
            <w:r>
              <w:rPr>
                <w:b/>
                <w:shd w:val="clear" w:color="auto" w:fill="FCFCFC"/>
              </w:rPr>
              <w:t>Montenegro</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03FBAC08" w14:textId="77777777" w:rsidR="004E7A37" w:rsidRDefault="001D2D19">
            <w:pPr>
              <w:spacing w:after="520"/>
              <w:rPr>
                <w:sz w:val="27"/>
                <w:szCs w:val="27"/>
                <w:shd w:val="clear" w:color="auto" w:fill="FCFCFC"/>
              </w:rPr>
            </w:pPr>
            <w:r>
              <w:rPr>
                <w:shd w:val="clear" w:color="auto" w:fill="FCFCFC"/>
              </w:rPr>
              <w:t>50,000</w:t>
            </w:r>
          </w:p>
        </w:tc>
        <w:tc>
          <w:tcPr>
            <w:tcW w:w="1210"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69035079" w14:textId="77777777" w:rsidR="004E7A37" w:rsidRDefault="001D2D19">
            <w:pPr>
              <w:spacing w:after="520"/>
              <w:rPr>
                <w:sz w:val="27"/>
                <w:szCs w:val="27"/>
                <w:shd w:val="clear" w:color="auto" w:fill="FCFCFC"/>
              </w:rPr>
            </w:pPr>
            <w:r>
              <w:rPr>
                <w:shd w:val="clear" w:color="auto" w:fill="FCFCFC"/>
              </w:rPr>
              <w:t>3,000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3F331A2F" w14:textId="77777777" w:rsidR="004E7A37" w:rsidRDefault="001D2D19">
            <w:pPr>
              <w:spacing w:after="520"/>
              <w:rPr>
                <w:sz w:val="27"/>
                <w:szCs w:val="27"/>
                <w:shd w:val="clear" w:color="auto" w:fill="FCFCFC"/>
              </w:rPr>
            </w:pPr>
            <w:r>
              <w:rPr>
                <w:shd w:val="clear" w:color="auto" w:fill="FCFCFC"/>
              </w:rPr>
              <w:t>10,000</w:t>
            </w:r>
          </w:p>
        </w:tc>
        <w:tc>
          <w:tcPr>
            <w:tcW w:w="1223"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268049F4" w14:textId="77777777" w:rsidR="004E7A37" w:rsidRDefault="001D2D19">
            <w:pPr>
              <w:spacing w:after="520"/>
              <w:rPr>
                <w:sz w:val="27"/>
                <w:szCs w:val="27"/>
                <w:shd w:val="clear" w:color="auto" w:fill="FCFCFC"/>
              </w:rPr>
            </w:pPr>
            <w:r>
              <w:rPr>
                <w:shd w:val="clear" w:color="auto" w:fill="FCFCFC"/>
              </w:rPr>
              <w:t>7,000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22A1D70E" w14:textId="77777777" w:rsidR="004E7A37" w:rsidRDefault="001D2D19">
            <w:pPr>
              <w:spacing w:after="520"/>
              <w:rPr>
                <w:sz w:val="27"/>
                <w:szCs w:val="27"/>
                <w:shd w:val="clear" w:color="auto" w:fill="FCFCFC"/>
              </w:rPr>
            </w:pPr>
            <w:r>
              <w:rPr>
                <w:shd w:val="clear" w:color="auto" w:fill="FCFCFC"/>
              </w:rPr>
              <w:t>20,000</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35C3FD84" w14:textId="77777777" w:rsidR="004E7A37" w:rsidRDefault="001D2D19">
            <w:pPr>
              <w:spacing w:after="520"/>
              <w:rPr>
                <w:sz w:val="27"/>
                <w:szCs w:val="27"/>
                <w:shd w:val="clear" w:color="auto" w:fill="FCFCFC"/>
              </w:rPr>
            </w:pPr>
            <w:r>
              <w:rPr>
                <w:shd w:val="clear" w:color="auto" w:fill="FCFCFC"/>
              </w:rPr>
              <w:t>40.0</w:t>
            </w:r>
          </w:p>
        </w:tc>
      </w:tr>
      <w:tr w:rsidR="004E7A37" w14:paraId="4270F002" w14:textId="77777777">
        <w:trPr>
          <w:trHeight w:val="480"/>
        </w:trPr>
        <w:tc>
          <w:tcPr>
            <w:tcW w:w="1358"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79A1DEE6" w14:textId="77777777" w:rsidR="004E7A37" w:rsidRDefault="001D2D19">
            <w:pPr>
              <w:spacing w:after="520"/>
              <w:rPr>
                <w:sz w:val="27"/>
                <w:szCs w:val="27"/>
                <w:shd w:val="clear" w:color="auto" w:fill="FCFCFC"/>
              </w:rPr>
            </w:pPr>
            <w:r>
              <w:rPr>
                <w:b/>
                <w:shd w:val="clear" w:color="auto" w:fill="FCFCFC"/>
              </w:rPr>
              <w:t>total</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51F10CD3" w14:textId="77777777" w:rsidR="004E7A37" w:rsidRDefault="001D2D19">
            <w:pPr>
              <w:spacing w:after="520"/>
              <w:rPr>
                <w:sz w:val="27"/>
                <w:szCs w:val="27"/>
                <w:shd w:val="clear" w:color="auto" w:fill="FCFCFC"/>
              </w:rPr>
            </w:pPr>
            <w:r>
              <w:rPr>
                <w:shd w:val="clear" w:color="auto" w:fill="FCFCFC"/>
              </w:rPr>
              <w:t>42,188,810</w:t>
            </w:r>
          </w:p>
        </w:tc>
        <w:tc>
          <w:tcPr>
            <w:tcW w:w="1210"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2785CA74" w14:textId="77777777" w:rsidR="004E7A37" w:rsidRDefault="001D2D19">
            <w:pPr>
              <w:spacing w:after="520"/>
              <w:rPr>
                <w:sz w:val="27"/>
                <w:szCs w:val="27"/>
                <w:shd w:val="clear" w:color="auto" w:fill="FCFCFC"/>
              </w:rPr>
            </w:pPr>
            <w:r>
              <w:rPr>
                <w:shd w:val="clear" w:color="auto" w:fill="FCFCFC"/>
              </w:rPr>
              <w:t>5,142,631</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52B488C6" w14:textId="77777777" w:rsidR="004E7A37" w:rsidRDefault="001D2D19">
            <w:pPr>
              <w:spacing w:after="520"/>
              <w:rPr>
                <w:sz w:val="27"/>
                <w:szCs w:val="27"/>
                <w:shd w:val="clear" w:color="auto" w:fill="FCFCFC"/>
              </w:rPr>
            </w:pPr>
            <w:r>
              <w:rPr>
                <w:shd w:val="clear" w:color="auto" w:fill="FCFCFC"/>
              </w:rPr>
              <w:t>12,800,706</w:t>
            </w:r>
          </w:p>
        </w:tc>
        <w:tc>
          <w:tcPr>
            <w:tcW w:w="1223"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72EFFC74" w14:textId="77777777" w:rsidR="004E7A37" w:rsidRDefault="001D2D19">
            <w:pPr>
              <w:spacing w:after="520"/>
              <w:rPr>
                <w:sz w:val="27"/>
                <w:szCs w:val="27"/>
                <w:shd w:val="clear" w:color="auto" w:fill="FCFCFC"/>
              </w:rPr>
            </w:pPr>
            <w:r>
              <w:rPr>
                <w:shd w:val="clear" w:color="auto" w:fill="FCFCFC"/>
              </w:rPr>
              <w:t>4,121,090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7BB4D6E3" w14:textId="77777777" w:rsidR="004E7A37" w:rsidRDefault="001D2D19">
            <w:pPr>
              <w:spacing w:after="520"/>
              <w:rPr>
                <w:sz w:val="27"/>
                <w:szCs w:val="27"/>
                <w:shd w:val="clear" w:color="auto" w:fill="FCFCFC"/>
              </w:rPr>
            </w:pPr>
            <w:r>
              <w:rPr>
                <w:shd w:val="clear" w:color="auto" w:fill="FCFCFC"/>
              </w:rPr>
              <w:t>22,064,427</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63A4C045" w14:textId="77777777" w:rsidR="004E7A37" w:rsidRDefault="001D2D19">
            <w:pPr>
              <w:spacing w:after="520"/>
              <w:rPr>
                <w:sz w:val="27"/>
                <w:szCs w:val="27"/>
                <w:shd w:val="clear" w:color="auto" w:fill="FCFCFC"/>
              </w:rPr>
            </w:pPr>
            <w:r>
              <w:rPr>
                <w:shd w:val="clear" w:color="auto" w:fill="FCFCFC"/>
              </w:rPr>
              <w:t>52.3</w:t>
            </w:r>
          </w:p>
        </w:tc>
      </w:tr>
      <w:tr w:rsidR="004E7A37" w14:paraId="7C280457" w14:textId="77777777">
        <w:trPr>
          <w:trHeight w:val="520"/>
        </w:trPr>
        <w:tc>
          <w:tcPr>
            <w:tcW w:w="9357" w:type="dxa"/>
            <w:gridSpan w:val="7"/>
            <w:tcBorders>
              <w:top w:val="nil"/>
              <w:left w:val="nil"/>
              <w:bottom w:val="nil"/>
              <w:right w:val="nil"/>
            </w:tcBorders>
            <w:shd w:val="clear" w:color="auto" w:fill="auto"/>
            <w:tcMar>
              <w:top w:w="120" w:type="dxa"/>
              <w:left w:w="120" w:type="dxa"/>
              <w:bottom w:w="120" w:type="dxa"/>
              <w:right w:w="120" w:type="dxa"/>
            </w:tcMar>
            <w:vAlign w:val="center"/>
          </w:tcPr>
          <w:p w14:paraId="01B44782" w14:textId="77777777" w:rsidR="004E7A37" w:rsidRDefault="001D2D19">
            <w:pPr>
              <w:spacing w:after="520"/>
              <w:jc w:val="center"/>
              <w:rPr>
                <w:sz w:val="27"/>
                <w:szCs w:val="27"/>
                <w:shd w:val="clear" w:color="auto" w:fill="FCFCFC"/>
              </w:rPr>
            </w:pPr>
            <w:r>
              <w:rPr>
                <w:b/>
                <w:sz w:val="24"/>
                <w:szCs w:val="24"/>
                <w:shd w:val="clear" w:color="auto" w:fill="FCFCFC"/>
              </w:rPr>
              <w:t>Central Powers</w:t>
            </w:r>
          </w:p>
        </w:tc>
      </w:tr>
      <w:tr w:rsidR="004E7A37" w14:paraId="71F1557D" w14:textId="77777777">
        <w:trPr>
          <w:trHeight w:val="480"/>
        </w:trPr>
        <w:tc>
          <w:tcPr>
            <w:tcW w:w="1358"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263B6DB4" w14:textId="77777777" w:rsidR="004E7A37" w:rsidRDefault="001D2D19">
            <w:pPr>
              <w:spacing w:after="520"/>
              <w:rPr>
                <w:sz w:val="27"/>
                <w:szCs w:val="27"/>
                <w:shd w:val="clear" w:color="auto" w:fill="FCFCFC"/>
              </w:rPr>
            </w:pPr>
            <w:r>
              <w:rPr>
                <w:b/>
                <w:shd w:val="clear" w:color="auto" w:fill="FCFCFC"/>
              </w:rPr>
              <w:t>Germany</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50EC52C1" w14:textId="77777777" w:rsidR="004E7A37" w:rsidRDefault="001D2D19">
            <w:pPr>
              <w:spacing w:after="520"/>
              <w:rPr>
                <w:sz w:val="27"/>
                <w:szCs w:val="27"/>
                <w:shd w:val="clear" w:color="auto" w:fill="FCFCFC"/>
              </w:rPr>
            </w:pPr>
            <w:r>
              <w:rPr>
                <w:shd w:val="clear" w:color="auto" w:fill="FCFCFC"/>
              </w:rPr>
              <w:t>11,000,000</w:t>
            </w:r>
          </w:p>
        </w:tc>
        <w:tc>
          <w:tcPr>
            <w:tcW w:w="1210"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152F9114" w14:textId="77777777" w:rsidR="004E7A37" w:rsidRDefault="001D2D19">
            <w:pPr>
              <w:spacing w:after="520"/>
              <w:rPr>
                <w:sz w:val="27"/>
                <w:szCs w:val="27"/>
                <w:shd w:val="clear" w:color="auto" w:fill="FCFCFC"/>
              </w:rPr>
            </w:pPr>
            <w:r>
              <w:rPr>
                <w:shd w:val="clear" w:color="auto" w:fill="FCFCFC"/>
              </w:rPr>
              <w:t>1,773,700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5CDD735F" w14:textId="77777777" w:rsidR="004E7A37" w:rsidRDefault="001D2D19">
            <w:pPr>
              <w:spacing w:after="520"/>
              <w:rPr>
                <w:sz w:val="27"/>
                <w:szCs w:val="27"/>
                <w:shd w:val="clear" w:color="auto" w:fill="FCFCFC"/>
              </w:rPr>
            </w:pPr>
            <w:r>
              <w:rPr>
                <w:shd w:val="clear" w:color="auto" w:fill="FCFCFC"/>
              </w:rPr>
              <w:t>4,216,058</w:t>
            </w:r>
          </w:p>
        </w:tc>
        <w:tc>
          <w:tcPr>
            <w:tcW w:w="1223"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369FEBD0" w14:textId="77777777" w:rsidR="004E7A37" w:rsidRDefault="001D2D19">
            <w:pPr>
              <w:spacing w:after="520"/>
              <w:rPr>
                <w:sz w:val="27"/>
                <w:szCs w:val="27"/>
                <w:shd w:val="clear" w:color="auto" w:fill="FCFCFC"/>
              </w:rPr>
            </w:pPr>
            <w:r>
              <w:rPr>
                <w:shd w:val="clear" w:color="auto" w:fill="FCFCFC"/>
              </w:rPr>
              <w:t>1,152,800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30265E69" w14:textId="77777777" w:rsidR="004E7A37" w:rsidRDefault="001D2D19">
            <w:pPr>
              <w:spacing w:after="520"/>
              <w:rPr>
                <w:sz w:val="27"/>
                <w:szCs w:val="27"/>
                <w:shd w:val="clear" w:color="auto" w:fill="FCFCFC"/>
              </w:rPr>
            </w:pPr>
            <w:r>
              <w:rPr>
                <w:shd w:val="clear" w:color="auto" w:fill="FCFCFC"/>
              </w:rPr>
              <w:t>7,142,558</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4B009F6F" w14:textId="77777777" w:rsidR="004E7A37" w:rsidRDefault="001D2D19">
            <w:pPr>
              <w:spacing w:after="520"/>
              <w:rPr>
                <w:sz w:val="27"/>
                <w:szCs w:val="27"/>
                <w:shd w:val="clear" w:color="auto" w:fill="FCFCFC"/>
              </w:rPr>
            </w:pPr>
            <w:r>
              <w:rPr>
                <w:shd w:val="clear" w:color="auto" w:fill="FCFCFC"/>
              </w:rPr>
              <w:t>64.9</w:t>
            </w:r>
          </w:p>
        </w:tc>
      </w:tr>
      <w:tr w:rsidR="004E7A37" w14:paraId="0BCC6D98" w14:textId="77777777">
        <w:trPr>
          <w:trHeight w:val="720"/>
        </w:trPr>
        <w:tc>
          <w:tcPr>
            <w:tcW w:w="1358"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52699964" w14:textId="77777777" w:rsidR="004E7A37" w:rsidRDefault="001D2D19">
            <w:pPr>
              <w:spacing w:after="520"/>
              <w:rPr>
                <w:sz w:val="27"/>
                <w:szCs w:val="27"/>
                <w:shd w:val="clear" w:color="auto" w:fill="FCFCFC"/>
              </w:rPr>
            </w:pPr>
            <w:r>
              <w:rPr>
                <w:b/>
                <w:shd w:val="clear" w:color="auto" w:fill="FCFCFC"/>
              </w:rPr>
              <w:t>Austria-Hungary</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382E6A45" w14:textId="77777777" w:rsidR="004E7A37" w:rsidRDefault="001D2D19">
            <w:pPr>
              <w:spacing w:after="520"/>
              <w:rPr>
                <w:sz w:val="27"/>
                <w:szCs w:val="27"/>
                <w:shd w:val="clear" w:color="auto" w:fill="FCFCFC"/>
              </w:rPr>
            </w:pPr>
            <w:r>
              <w:rPr>
                <w:shd w:val="clear" w:color="auto" w:fill="FCFCFC"/>
              </w:rPr>
              <w:t>7,800,000</w:t>
            </w:r>
          </w:p>
        </w:tc>
        <w:tc>
          <w:tcPr>
            <w:tcW w:w="1210"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67AFA3D8" w14:textId="77777777" w:rsidR="004E7A37" w:rsidRDefault="001D2D19">
            <w:pPr>
              <w:spacing w:after="520"/>
              <w:rPr>
                <w:sz w:val="27"/>
                <w:szCs w:val="27"/>
                <w:shd w:val="clear" w:color="auto" w:fill="FCFCFC"/>
              </w:rPr>
            </w:pPr>
            <w:r>
              <w:rPr>
                <w:shd w:val="clear" w:color="auto" w:fill="FCFCFC"/>
              </w:rPr>
              <w:t>1,200,000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582D79F2" w14:textId="77777777" w:rsidR="004E7A37" w:rsidRDefault="001D2D19">
            <w:pPr>
              <w:spacing w:after="520"/>
              <w:rPr>
                <w:sz w:val="27"/>
                <w:szCs w:val="27"/>
                <w:shd w:val="clear" w:color="auto" w:fill="FCFCFC"/>
              </w:rPr>
            </w:pPr>
            <w:r>
              <w:rPr>
                <w:shd w:val="clear" w:color="auto" w:fill="FCFCFC"/>
              </w:rPr>
              <w:t>3,620,000</w:t>
            </w:r>
          </w:p>
        </w:tc>
        <w:tc>
          <w:tcPr>
            <w:tcW w:w="1223"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63AC2901" w14:textId="77777777" w:rsidR="004E7A37" w:rsidRDefault="001D2D19">
            <w:pPr>
              <w:spacing w:after="520"/>
              <w:rPr>
                <w:sz w:val="27"/>
                <w:szCs w:val="27"/>
                <w:shd w:val="clear" w:color="auto" w:fill="FCFCFC"/>
              </w:rPr>
            </w:pPr>
            <w:r>
              <w:rPr>
                <w:shd w:val="clear" w:color="auto" w:fill="FCFCFC"/>
              </w:rPr>
              <w:t>2,200,000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5EAE0160" w14:textId="77777777" w:rsidR="004E7A37" w:rsidRDefault="001D2D19">
            <w:pPr>
              <w:spacing w:after="520"/>
              <w:rPr>
                <w:sz w:val="27"/>
                <w:szCs w:val="27"/>
                <w:shd w:val="clear" w:color="auto" w:fill="FCFCFC"/>
              </w:rPr>
            </w:pPr>
            <w:r>
              <w:rPr>
                <w:shd w:val="clear" w:color="auto" w:fill="FCFCFC"/>
              </w:rPr>
              <w:t>7,020,000</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54779CEF" w14:textId="77777777" w:rsidR="004E7A37" w:rsidRDefault="001D2D19">
            <w:pPr>
              <w:spacing w:after="520"/>
              <w:rPr>
                <w:sz w:val="27"/>
                <w:szCs w:val="27"/>
                <w:shd w:val="clear" w:color="auto" w:fill="FCFCFC"/>
              </w:rPr>
            </w:pPr>
            <w:r>
              <w:rPr>
                <w:shd w:val="clear" w:color="auto" w:fill="FCFCFC"/>
              </w:rPr>
              <w:t>90.0</w:t>
            </w:r>
          </w:p>
        </w:tc>
      </w:tr>
      <w:tr w:rsidR="004E7A37" w14:paraId="18D4436C" w14:textId="77777777">
        <w:trPr>
          <w:trHeight w:val="480"/>
        </w:trPr>
        <w:tc>
          <w:tcPr>
            <w:tcW w:w="1358"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3C9521DB" w14:textId="77777777" w:rsidR="004E7A37" w:rsidRDefault="001D2D19">
            <w:pPr>
              <w:spacing w:after="520"/>
              <w:rPr>
                <w:sz w:val="27"/>
                <w:szCs w:val="27"/>
                <w:shd w:val="clear" w:color="auto" w:fill="FCFCFC"/>
              </w:rPr>
            </w:pPr>
            <w:r>
              <w:rPr>
                <w:b/>
                <w:shd w:val="clear" w:color="auto" w:fill="FCFCFC"/>
              </w:rPr>
              <w:t>Turkey</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4040ACE5" w14:textId="77777777" w:rsidR="004E7A37" w:rsidRDefault="001D2D19">
            <w:pPr>
              <w:spacing w:after="520"/>
              <w:rPr>
                <w:sz w:val="27"/>
                <w:szCs w:val="27"/>
                <w:shd w:val="clear" w:color="auto" w:fill="FCFCFC"/>
              </w:rPr>
            </w:pPr>
            <w:r>
              <w:rPr>
                <w:shd w:val="clear" w:color="auto" w:fill="FCFCFC"/>
              </w:rPr>
              <w:t>2,850,000</w:t>
            </w:r>
          </w:p>
        </w:tc>
        <w:tc>
          <w:tcPr>
            <w:tcW w:w="1210"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0C359AF8" w14:textId="77777777" w:rsidR="004E7A37" w:rsidRDefault="001D2D19">
            <w:pPr>
              <w:spacing w:after="520"/>
              <w:rPr>
                <w:sz w:val="27"/>
                <w:szCs w:val="27"/>
                <w:shd w:val="clear" w:color="auto" w:fill="FCFCFC"/>
              </w:rPr>
            </w:pPr>
            <w:r>
              <w:rPr>
                <w:shd w:val="clear" w:color="auto" w:fill="FCFCFC"/>
              </w:rPr>
              <w:t>325,000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7F86E465" w14:textId="77777777" w:rsidR="004E7A37" w:rsidRDefault="001D2D19">
            <w:pPr>
              <w:spacing w:after="520"/>
              <w:rPr>
                <w:sz w:val="27"/>
                <w:szCs w:val="27"/>
                <w:shd w:val="clear" w:color="auto" w:fill="FCFCFC"/>
              </w:rPr>
            </w:pPr>
            <w:r>
              <w:rPr>
                <w:shd w:val="clear" w:color="auto" w:fill="FCFCFC"/>
              </w:rPr>
              <w:t>400,000</w:t>
            </w:r>
          </w:p>
        </w:tc>
        <w:tc>
          <w:tcPr>
            <w:tcW w:w="1223"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74F501C1" w14:textId="77777777" w:rsidR="004E7A37" w:rsidRDefault="001D2D19">
            <w:pPr>
              <w:spacing w:after="520"/>
              <w:rPr>
                <w:sz w:val="27"/>
                <w:szCs w:val="27"/>
                <w:shd w:val="clear" w:color="auto" w:fill="FCFCFC"/>
              </w:rPr>
            </w:pPr>
            <w:r>
              <w:rPr>
                <w:shd w:val="clear" w:color="auto" w:fill="FCFCFC"/>
              </w:rPr>
              <w:t>250,000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76514E1C" w14:textId="77777777" w:rsidR="004E7A37" w:rsidRDefault="001D2D19">
            <w:pPr>
              <w:spacing w:after="520"/>
              <w:rPr>
                <w:sz w:val="27"/>
                <w:szCs w:val="27"/>
                <w:shd w:val="clear" w:color="auto" w:fill="FCFCFC"/>
              </w:rPr>
            </w:pPr>
            <w:r>
              <w:rPr>
                <w:shd w:val="clear" w:color="auto" w:fill="FCFCFC"/>
              </w:rPr>
              <w:t>975,000</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282E71E6" w14:textId="77777777" w:rsidR="004E7A37" w:rsidRDefault="001D2D19">
            <w:pPr>
              <w:spacing w:after="520"/>
              <w:rPr>
                <w:sz w:val="27"/>
                <w:szCs w:val="27"/>
                <w:shd w:val="clear" w:color="auto" w:fill="FCFCFC"/>
              </w:rPr>
            </w:pPr>
            <w:r>
              <w:rPr>
                <w:shd w:val="clear" w:color="auto" w:fill="FCFCFC"/>
              </w:rPr>
              <w:t>34.2</w:t>
            </w:r>
          </w:p>
        </w:tc>
      </w:tr>
      <w:tr w:rsidR="004E7A37" w14:paraId="61460681" w14:textId="77777777">
        <w:trPr>
          <w:trHeight w:val="480"/>
        </w:trPr>
        <w:tc>
          <w:tcPr>
            <w:tcW w:w="1358"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222B48EC" w14:textId="77777777" w:rsidR="004E7A37" w:rsidRDefault="001D2D19">
            <w:pPr>
              <w:spacing w:after="520"/>
              <w:rPr>
                <w:sz w:val="27"/>
                <w:szCs w:val="27"/>
                <w:shd w:val="clear" w:color="auto" w:fill="FCFCFC"/>
              </w:rPr>
            </w:pPr>
            <w:r>
              <w:rPr>
                <w:b/>
                <w:shd w:val="clear" w:color="auto" w:fill="FCFCFC"/>
              </w:rPr>
              <w:t>Bulgaria</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71995288" w14:textId="77777777" w:rsidR="004E7A37" w:rsidRDefault="001D2D19">
            <w:pPr>
              <w:spacing w:after="520"/>
              <w:rPr>
                <w:sz w:val="27"/>
                <w:szCs w:val="27"/>
                <w:shd w:val="clear" w:color="auto" w:fill="FCFCFC"/>
              </w:rPr>
            </w:pPr>
            <w:r>
              <w:rPr>
                <w:shd w:val="clear" w:color="auto" w:fill="FCFCFC"/>
              </w:rPr>
              <w:t>1,200,000</w:t>
            </w:r>
          </w:p>
        </w:tc>
        <w:tc>
          <w:tcPr>
            <w:tcW w:w="1210"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22003294" w14:textId="77777777" w:rsidR="004E7A37" w:rsidRDefault="001D2D19">
            <w:pPr>
              <w:spacing w:after="520"/>
              <w:rPr>
                <w:sz w:val="27"/>
                <w:szCs w:val="27"/>
                <w:shd w:val="clear" w:color="auto" w:fill="FCFCFC"/>
              </w:rPr>
            </w:pPr>
            <w:r>
              <w:rPr>
                <w:shd w:val="clear" w:color="auto" w:fill="FCFCFC"/>
              </w:rPr>
              <w:t>87,500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7CA12550" w14:textId="77777777" w:rsidR="004E7A37" w:rsidRDefault="001D2D19">
            <w:pPr>
              <w:spacing w:after="520"/>
              <w:rPr>
                <w:sz w:val="27"/>
                <w:szCs w:val="27"/>
                <w:shd w:val="clear" w:color="auto" w:fill="FCFCFC"/>
              </w:rPr>
            </w:pPr>
            <w:r>
              <w:rPr>
                <w:shd w:val="clear" w:color="auto" w:fill="FCFCFC"/>
              </w:rPr>
              <w:t>152,390</w:t>
            </w:r>
          </w:p>
        </w:tc>
        <w:tc>
          <w:tcPr>
            <w:tcW w:w="1223"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4D216E30" w14:textId="77777777" w:rsidR="004E7A37" w:rsidRDefault="001D2D19">
            <w:pPr>
              <w:spacing w:after="520"/>
              <w:rPr>
                <w:sz w:val="27"/>
                <w:szCs w:val="27"/>
                <w:shd w:val="clear" w:color="auto" w:fill="FCFCFC"/>
              </w:rPr>
            </w:pPr>
            <w:r>
              <w:rPr>
                <w:shd w:val="clear" w:color="auto" w:fill="FCFCFC"/>
              </w:rPr>
              <w:t>27,029</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168D18A8" w14:textId="77777777" w:rsidR="004E7A37" w:rsidRDefault="001D2D19">
            <w:pPr>
              <w:spacing w:after="520"/>
              <w:rPr>
                <w:sz w:val="27"/>
                <w:szCs w:val="27"/>
                <w:shd w:val="clear" w:color="auto" w:fill="FCFCFC"/>
              </w:rPr>
            </w:pPr>
            <w:r>
              <w:rPr>
                <w:shd w:val="clear" w:color="auto" w:fill="FCFCFC"/>
              </w:rPr>
              <w:t>266,919</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3DF7AA1E" w14:textId="77777777" w:rsidR="004E7A37" w:rsidRDefault="001D2D19">
            <w:pPr>
              <w:spacing w:after="520"/>
              <w:rPr>
                <w:sz w:val="27"/>
                <w:szCs w:val="27"/>
                <w:shd w:val="clear" w:color="auto" w:fill="FCFCFC"/>
              </w:rPr>
            </w:pPr>
            <w:r>
              <w:rPr>
                <w:shd w:val="clear" w:color="auto" w:fill="FCFCFC"/>
              </w:rPr>
              <w:t>22.2</w:t>
            </w:r>
          </w:p>
        </w:tc>
      </w:tr>
      <w:tr w:rsidR="004E7A37" w14:paraId="41B80014" w14:textId="77777777">
        <w:trPr>
          <w:trHeight w:val="480"/>
        </w:trPr>
        <w:tc>
          <w:tcPr>
            <w:tcW w:w="1358"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56747940" w14:textId="77777777" w:rsidR="004E7A37" w:rsidRDefault="001D2D19">
            <w:pPr>
              <w:spacing w:after="520"/>
              <w:rPr>
                <w:sz w:val="27"/>
                <w:szCs w:val="27"/>
                <w:shd w:val="clear" w:color="auto" w:fill="FCFCFC"/>
              </w:rPr>
            </w:pPr>
            <w:r>
              <w:rPr>
                <w:b/>
                <w:shd w:val="clear" w:color="auto" w:fill="FCFCFC"/>
              </w:rPr>
              <w:lastRenderedPageBreak/>
              <w:t>total</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4D5C65CA" w14:textId="77777777" w:rsidR="004E7A37" w:rsidRDefault="001D2D19">
            <w:pPr>
              <w:spacing w:after="520"/>
              <w:rPr>
                <w:sz w:val="27"/>
                <w:szCs w:val="27"/>
                <w:shd w:val="clear" w:color="auto" w:fill="FCFCFC"/>
              </w:rPr>
            </w:pPr>
            <w:r>
              <w:rPr>
                <w:shd w:val="clear" w:color="auto" w:fill="FCFCFC"/>
              </w:rPr>
              <w:t>22,850,000</w:t>
            </w:r>
          </w:p>
        </w:tc>
        <w:tc>
          <w:tcPr>
            <w:tcW w:w="1210"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6CB9D28B" w14:textId="77777777" w:rsidR="004E7A37" w:rsidRDefault="001D2D19">
            <w:pPr>
              <w:spacing w:after="520"/>
              <w:rPr>
                <w:sz w:val="27"/>
                <w:szCs w:val="27"/>
                <w:shd w:val="clear" w:color="auto" w:fill="FCFCFC"/>
              </w:rPr>
            </w:pPr>
            <w:r>
              <w:rPr>
                <w:shd w:val="clear" w:color="auto" w:fill="FCFCFC"/>
              </w:rPr>
              <w:t>3,386,200</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2FCF085F" w14:textId="77777777" w:rsidR="004E7A37" w:rsidRDefault="001D2D19">
            <w:pPr>
              <w:spacing w:after="520"/>
              <w:rPr>
                <w:sz w:val="27"/>
                <w:szCs w:val="27"/>
                <w:shd w:val="clear" w:color="auto" w:fill="FCFCFC"/>
              </w:rPr>
            </w:pPr>
            <w:r>
              <w:rPr>
                <w:shd w:val="clear" w:color="auto" w:fill="FCFCFC"/>
              </w:rPr>
              <w:t>8,388,448</w:t>
            </w:r>
          </w:p>
        </w:tc>
        <w:tc>
          <w:tcPr>
            <w:tcW w:w="1223"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3480F150" w14:textId="77777777" w:rsidR="004E7A37" w:rsidRDefault="001D2D19">
            <w:pPr>
              <w:spacing w:after="520"/>
              <w:rPr>
                <w:sz w:val="27"/>
                <w:szCs w:val="27"/>
                <w:shd w:val="clear" w:color="auto" w:fill="FCFCFC"/>
              </w:rPr>
            </w:pPr>
            <w:r>
              <w:rPr>
                <w:shd w:val="clear" w:color="auto" w:fill="FCFCFC"/>
              </w:rPr>
              <w:t>3,629,829</w:t>
            </w:r>
          </w:p>
        </w:tc>
        <w:tc>
          <w:tcPr>
            <w:tcW w:w="1331" w:type="dxa"/>
            <w:tcBorders>
              <w:top w:val="nil"/>
              <w:left w:val="nil"/>
              <w:bottom w:val="nil"/>
              <w:right w:val="single" w:sz="6" w:space="0" w:color="E6E6E6"/>
            </w:tcBorders>
            <w:shd w:val="clear" w:color="auto" w:fill="auto"/>
            <w:tcMar>
              <w:top w:w="120" w:type="dxa"/>
              <w:left w:w="120" w:type="dxa"/>
              <w:bottom w:w="120" w:type="dxa"/>
              <w:right w:w="120" w:type="dxa"/>
            </w:tcMar>
            <w:vAlign w:val="center"/>
          </w:tcPr>
          <w:p w14:paraId="51B66ADE" w14:textId="77777777" w:rsidR="004E7A37" w:rsidRDefault="001D2D19">
            <w:pPr>
              <w:spacing w:after="520"/>
              <w:rPr>
                <w:sz w:val="27"/>
                <w:szCs w:val="27"/>
                <w:shd w:val="clear" w:color="auto" w:fill="FCFCFC"/>
              </w:rPr>
            </w:pPr>
            <w:r>
              <w:rPr>
                <w:shd w:val="clear" w:color="auto" w:fill="FCFCFC"/>
              </w:rPr>
              <w:t>15,404,477</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5E2EBA90" w14:textId="77777777" w:rsidR="004E7A37" w:rsidRDefault="001D2D19">
            <w:pPr>
              <w:spacing w:after="520"/>
              <w:rPr>
                <w:sz w:val="27"/>
                <w:szCs w:val="27"/>
                <w:shd w:val="clear" w:color="auto" w:fill="FCFCFC"/>
              </w:rPr>
            </w:pPr>
            <w:r>
              <w:rPr>
                <w:shd w:val="clear" w:color="auto" w:fill="FCFCFC"/>
              </w:rPr>
              <w:t>67.4</w:t>
            </w:r>
          </w:p>
        </w:tc>
      </w:tr>
      <w:tr w:rsidR="004E7A37" w14:paraId="3115DF28" w14:textId="77777777">
        <w:trPr>
          <w:trHeight w:val="780"/>
        </w:trPr>
        <w:tc>
          <w:tcPr>
            <w:tcW w:w="1358" w:type="dxa"/>
            <w:tcBorders>
              <w:top w:val="nil"/>
              <w:left w:val="nil"/>
              <w:bottom w:val="nil"/>
              <w:right w:val="single" w:sz="6" w:space="0" w:color="CCCCCC"/>
            </w:tcBorders>
            <w:shd w:val="clear" w:color="auto" w:fill="auto"/>
            <w:tcMar>
              <w:top w:w="120" w:type="dxa"/>
              <w:left w:w="120" w:type="dxa"/>
              <w:bottom w:w="120" w:type="dxa"/>
              <w:right w:w="120" w:type="dxa"/>
            </w:tcMar>
            <w:vAlign w:val="center"/>
          </w:tcPr>
          <w:p w14:paraId="4AE7C9F8" w14:textId="77777777" w:rsidR="004E7A37" w:rsidRDefault="001D2D19">
            <w:pPr>
              <w:spacing w:after="520"/>
              <w:jc w:val="center"/>
              <w:rPr>
                <w:sz w:val="27"/>
                <w:szCs w:val="27"/>
                <w:shd w:val="clear" w:color="auto" w:fill="FCFCFC"/>
              </w:rPr>
            </w:pPr>
            <w:r>
              <w:rPr>
                <w:b/>
                <w:sz w:val="24"/>
                <w:szCs w:val="24"/>
                <w:shd w:val="clear" w:color="auto" w:fill="FCFCFC"/>
              </w:rPr>
              <w:t>Grand total</w:t>
            </w:r>
          </w:p>
        </w:tc>
        <w:tc>
          <w:tcPr>
            <w:tcW w:w="1331" w:type="dxa"/>
            <w:tcBorders>
              <w:top w:val="nil"/>
              <w:left w:val="nil"/>
              <w:bottom w:val="nil"/>
              <w:right w:val="single" w:sz="6" w:space="0" w:color="CCCCCC"/>
            </w:tcBorders>
            <w:shd w:val="clear" w:color="auto" w:fill="auto"/>
            <w:tcMar>
              <w:top w:w="120" w:type="dxa"/>
              <w:left w:w="120" w:type="dxa"/>
              <w:bottom w:w="120" w:type="dxa"/>
              <w:right w:w="120" w:type="dxa"/>
            </w:tcMar>
            <w:vAlign w:val="center"/>
          </w:tcPr>
          <w:p w14:paraId="393C0C9B" w14:textId="77777777" w:rsidR="004E7A37" w:rsidRDefault="001D2D19">
            <w:pPr>
              <w:spacing w:after="520"/>
              <w:jc w:val="center"/>
              <w:rPr>
                <w:sz w:val="27"/>
                <w:szCs w:val="27"/>
                <w:shd w:val="clear" w:color="auto" w:fill="FCFCFC"/>
              </w:rPr>
            </w:pPr>
            <w:r>
              <w:rPr>
                <w:b/>
                <w:sz w:val="24"/>
                <w:szCs w:val="24"/>
                <w:shd w:val="clear" w:color="auto" w:fill="FCFCFC"/>
              </w:rPr>
              <w:t>65,038,810</w:t>
            </w:r>
          </w:p>
        </w:tc>
        <w:tc>
          <w:tcPr>
            <w:tcW w:w="1210" w:type="dxa"/>
            <w:tcBorders>
              <w:top w:val="nil"/>
              <w:left w:val="nil"/>
              <w:bottom w:val="nil"/>
              <w:right w:val="single" w:sz="6" w:space="0" w:color="CCCCCC"/>
            </w:tcBorders>
            <w:shd w:val="clear" w:color="auto" w:fill="auto"/>
            <w:tcMar>
              <w:top w:w="120" w:type="dxa"/>
              <w:left w:w="120" w:type="dxa"/>
              <w:bottom w:w="120" w:type="dxa"/>
              <w:right w:w="120" w:type="dxa"/>
            </w:tcMar>
            <w:vAlign w:val="center"/>
          </w:tcPr>
          <w:p w14:paraId="4FBC6429" w14:textId="77777777" w:rsidR="004E7A37" w:rsidRDefault="001D2D19">
            <w:pPr>
              <w:spacing w:after="520"/>
              <w:jc w:val="center"/>
              <w:rPr>
                <w:sz w:val="27"/>
                <w:szCs w:val="27"/>
                <w:shd w:val="clear" w:color="auto" w:fill="FCFCFC"/>
              </w:rPr>
            </w:pPr>
            <w:r>
              <w:rPr>
                <w:b/>
                <w:sz w:val="24"/>
                <w:szCs w:val="24"/>
                <w:shd w:val="clear" w:color="auto" w:fill="FCFCFC"/>
              </w:rPr>
              <w:t>8,528,831</w:t>
            </w:r>
          </w:p>
        </w:tc>
        <w:tc>
          <w:tcPr>
            <w:tcW w:w="1331" w:type="dxa"/>
            <w:tcBorders>
              <w:top w:val="nil"/>
              <w:left w:val="nil"/>
              <w:bottom w:val="nil"/>
              <w:right w:val="single" w:sz="6" w:space="0" w:color="CCCCCC"/>
            </w:tcBorders>
            <w:shd w:val="clear" w:color="auto" w:fill="auto"/>
            <w:tcMar>
              <w:top w:w="120" w:type="dxa"/>
              <w:left w:w="120" w:type="dxa"/>
              <w:bottom w:w="120" w:type="dxa"/>
              <w:right w:w="120" w:type="dxa"/>
            </w:tcMar>
            <w:vAlign w:val="center"/>
          </w:tcPr>
          <w:p w14:paraId="095B482C" w14:textId="77777777" w:rsidR="004E7A37" w:rsidRDefault="001D2D19">
            <w:pPr>
              <w:spacing w:after="520"/>
              <w:jc w:val="center"/>
              <w:rPr>
                <w:sz w:val="27"/>
                <w:szCs w:val="27"/>
                <w:shd w:val="clear" w:color="auto" w:fill="FCFCFC"/>
              </w:rPr>
            </w:pPr>
            <w:r>
              <w:rPr>
                <w:b/>
                <w:sz w:val="24"/>
                <w:szCs w:val="24"/>
                <w:shd w:val="clear" w:color="auto" w:fill="FCFCFC"/>
              </w:rPr>
              <w:t>21,189,154</w:t>
            </w:r>
          </w:p>
        </w:tc>
        <w:tc>
          <w:tcPr>
            <w:tcW w:w="1223" w:type="dxa"/>
            <w:tcBorders>
              <w:top w:val="nil"/>
              <w:left w:val="nil"/>
              <w:bottom w:val="nil"/>
              <w:right w:val="single" w:sz="6" w:space="0" w:color="CCCCCC"/>
            </w:tcBorders>
            <w:shd w:val="clear" w:color="auto" w:fill="auto"/>
            <w:tcMar>
              <w:top w:w="120" w:type="dxa"/>
              <w:left w:w="120" w:type="dxa"/>
              <w:bottom w:w="120" w:type="dxa"/>
              <w:right w:w="120" w:type="dxa"/>
            </w:tcMar>
            <w:vAlign w:val="center"/>
          </w:tcPr>
          <w:p w14:paraId="0DEC7A35" w14:textId="77777777" w:rsidR="004E7A37" w:rsidRDefault="001D2D19">
            <w:pPr>
              <w:spacing w:after="520"/>
              <w:jc w:val="center"/>
              <w:rPr>
                <w:sz w:val="27"/>
                <w:szCs w:val="27"/>
                <w:shd w:val="clear" w:color="auto" w:fill="FCFCFC"/>
              </w:rPr>
            </w:pPr>
            <w:r>
              <w:rPr>
                <w:b/>
                <w:sz w:val="24"/>
                <w:szCs w:val="24"/>
                <w:shd w:val="clear" w:color="auto" w:fill="FCFCFC"/>
              </w:rPr>
              <w:t>7,750,919</w:t>
            </w:r>
          </w:p>
        </w:tc>
        <w:tc>
          <w:tcPr>
            <w:tcW w:w="1331" w:type="dxa"/>
            <w:tcBorders>
              <w:top w:val="nil"/>
              <w:left w:val="nil"/>
              <w:bottom w:val="nil"/>
              <w:right w:val="single" w:sz="6" w:space="0" w:color="CCCCCC"/>
            </w:tcBorders>
            <w:shd w:val="clear" w:color="auto" w:fill="auto"/>
            <w:tcMar>
              <w:top w:w="120" w:type="dxa"/>
              <w:left w:w="120" w:type="dxa"/>
              <w:bottom w:w="120" w:type="dxa"/>
              <w:right w:w="120" w:type="dxa"/>
            </w:tcMar>
            <w:vAlign w:val="center"/>
          </w:tcPr>
          <w:p w14:paraId="4418FBE6" w14:textId="77777777" w:rsidR="004E7A37" w:rsidRDefault="001D2D19">
            <w:pPr>
              <w:spacing w:after="520"/>
              <w:jc w:val="center"/>
              <w:rPr>
                <w:sz w:val="27"/>
                <w:szCs w:val="27"/>
                <w:shd w:val="clear" w:color="auto" w:fill="FCFCFC"/>
              </w:rPr>
            </w:pPr>
            <w:r>
              <w:rPr>
                <w:b/>
                <w:sz w:val="24"/>
                <w:szCs w:val="24"/>
                <w:shd w:val="clear" w:color="auto" w:fill="FCFCFC"/>
              </w:rPr>
              <w:t>37,468,904</w:t>
            </w:r>
          </w:p>
        </w:tc>
        <w:tc>
          <w:tcPr>
            <w:tcW w:w="1573" w:type="dxa"/>
            <w:tcBorders>
              <w:top w:val="nil"/>
              <w:left w:val="nil"/>
              <w:bottom w:val="nil"/>
              <w:right w:val="nil"/>
            </w:tcBorders>
            <w:shd w:val="clear" w:color="auto" w:fill="auto"/>
            <w:tcMar>
              <w:top w:w="120" w:type="dxa"/>
              <w:left w:w="120" w:type="dxa"/>
              <w:bottom w:w="120" w:type="dxa"/>
              <w:right w:w="120" w:type="dxa"/>
            </w:tcMar>
            <w:vAlign w:val="center"/>
          </w:tcPr>
          <w:p w14:paraId="0D848CAF" w14:textId="77777777" w:rsidR="004E7A37" w:rsidRDefault="001D2D19">
            <w:pPr>
              <w:spacing w:after="520"/>
              <w:jc w:val="center"/>
              <w:rPr>
                <w:sz w:val="27"/>
                <w:szCs w:val="27"/>
                <w:shd w:val="clear" w:color="auto" w:fill="FCFCFC"/>
              </w:rPr>
            </w:pPr>
            <w:r>
              <w:rPr>
                <w:b/>
                <w:sz w:val="24"/>
                <w:szCs w:val="24"/>
                <w:shd w:val="clear" w:color="auto" w:fill="FCFCFC"/>
              </w:rPr>
              <w:t>57.5</w:t>
            </w:r>
          </w:p>
        </w:tc>
      </w:tr>
    </w:tbl>
    <w:p w14:paraId="2F1EC33F" w14:textId="77777777" w:rsidR="004E7A37" w:rsidRDefault="001D2D19">
      <w:pPr>
        <w:pBdr>
          <w:top w:val="none" w:sz="0" w:space="0" w:color="auto"/>
          <w:left w:val="none" w:sz="0" w:space="0" w:color="auto"/>
          <w:bottom w:val="none" w:sz="0" w:space="0" w:color="auto"/>
          <w:right w:val="none" w:sz="0" w:space="0" w:color="auto"/>
          <w:between w:val="none" w:sz="0" w:space="0" w:color="auto"/>
        </w:pBdr>
        <w:spacing w:before="160" w:after="300"/>
        <w:rPr>
          <w:sz w:val="27"/>
          <w:szCs w:val="27"/>
          <w:highlight w:val="white"/>
        </w:rPr>
      </w:pPr>
      <w:r>
        <w:rPr>
          <w:sz w:val="27"/>
          <w:szCs w:val="27"/>
          <w:highlight w:val="white"/>
        </w:rPr>
        <w:t xml:space="preserve">Similar uncertainties exist about the number of civilian deaths attributable to the war. There were no agencies established to keep records of these fatalities, but it is clear that the displacement of peoples through the movement of the war in Europe and </w:t>
      </w:r>
      <w:r>
        <w:rPr>
          <w:sz w:val="27"/>
          <w:szCs w:val="27"/>
          <w:highlight w:val="white"/>
        </w:rPr>
        <w:t xml:space="preserve">in </w:t>
      </w:r>
      <w:hyperlink r:id="rId15">
        <w:r>
          <w:rPr>
            <w:color w:val="106596"/>
            <w:sz w:val="27"/>
            <w:szCs w:val="27"/>
            <w:highlight w:val="white"/>
            <w:u w:val="single"/>
          </w:rPr>
          <w:t>Asia Minor</w:t>
        </w:r>
      </w:hyperlink>
      <w:r>
        <w:rPr>
          <w:sz w:val="27"/>
          <w:szCs w:val="27"/>
          <w:highlight w:val="white"/>
        </w:rPr>
        <w:t xml:space="preserve">, accompanied as it was in 1918 by the most destructive outbreak of </w:t>
      </w:r>
      <w:hyperlink r:id="rId16">
        <w:r>
          <w:rPr>
            <w:color w:val="106596"/>
            <w:sz w:val="27"/>
            <w:szCs w:val="27"/>
            <w:highlight w:val="white"/>
            <w:u w:val="single"/>
          </w:rPr>
          <w:t>influenza</w:t>
        </w:r>
      </w:hyperlink>
      <w:r>
        <w:rPr>
          <w:sz w:val="27"/>
          <w:szCs w:val="27"/>
          <w:highlight w:val="white"/>
        </w:rPr>
        <w:t xml:space="preserve"> in history, led to the deaths of large numbers. It has been estimated that the number of civilian deaths attributable to the war was higher than the military casualties, or around 13,000,000. These civilian deaths were largely caused by </w:t>
      </w:r>
      <w:hyperlink r:id="rId17">
        <w:r>
          <w:rPr>
            <w:color w:val="106596"/>
            <w:sz w:val="27"/>
            <w:szCs w:val="27"/>
            <w:highlight w:val="white"/>
            <w:u w:val="single"/>
          </w:rPr>
          <w:t>starvation</w:t>
        </w:r>
      </w:hyperlink>
      <w:r>
        <w:rPr>
          <w:sz w:val="27"/>
          <w:szCs w:val="27"/>
          <w:highlight w:val="white"/>
        </w:rPr>
        <w:t>, exposure, disease, military encounters, and massacres.</w:t>
      </w:r>
    </w:p>
    <w:p w14:paraId="4A3506D4" w14:textId="77777777" w:rsidR="004E7A37" w:rsidRDefault="004E7A37"/>
    <w:sectPr w:rsidR="004E7A3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grammar="clean"/>
  <w:defaultTabStop w:val="720"/>
  <w:characterSpacingControl w:val="doNotCompress"/>
  <w:compat>
    <w:compatSetting w:name="compatibilityMode" w:uri="http://schemas.microsoft.com/office/word" w:val="14"/>
  </w:compat>
  <w:rsids>
    <w:rsidRoot w:val="004E7A37"/>
    <w:rsid w:val="001D2D19"/>
    <w:rsid w:val="004E7A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79DB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erriam-webster.com/dictionary/futile" TargetMode="External"/><Relationship Id="rId12" Type="http://schemas.openxmlformats.org/officeDocument/2006/relationships/hyperlink" Target="https://www.merriam-webster.com/dictionary/indiscriminate" TargetMode="External"/><Relationship Id="rId13" Type="http://schemas.openxmlformats.org/officeDocument/2006/relationships/hyperlink" Target="https://www.britannica.com/topic/large-numbers-1765137" TargetMode="External"/><Relationship Id="rId14" Type="http://schemas.openxmlformats.org/officeDocument/2006/relationships/hyperlink" Target="https://www.britannica.com/topic/war" TargetMode="External"/><Relationship Id="rId15" Type="http://schemas.openxmlformats.org/officeDocument/2006/relationships/hyperlink" Target="https://www.britannica.com/place/Anatolia" TargetMode="External"/><Relationship Id="rId16" Type="http://schemas.openxmlformats.org/officeDocument/2006/relationships/hyperlink" Target="https://www.britannica.com/science/influenza" TargetMode="External"/><Relationship Id="rId17" Type="http://schemas.openxmlformats.org/officeDocument/2006/relationships/hyperlink" Target="https://www.britannica.com/science/starvation"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britannica.com/technology/artillery" TargetMode="External"/><Relationship Id="rId5" Type="http://schemas.openxmlformats.org/officeDocument/2006/relationships/hyperlink" Target="https://www.britannica.com/technology/bayonet" TargetMode="External"/><Relationship Id="rId6" Type="http://schemas.openxmlformats.org/officeDocument/2006/relationships/hyperlink" Target="https://www.britannica.com/event/First-Battle-of-the-Somme" TargetMode="External"/><Relationship Id="rId7" Type="http://schemas.openxmlformats.org/officeDocument/2006/relationships/hyperlink" Target="https://www.britannica.com/topic/British-Army" TargetMode="External"/><Relationship Id="rId8" Type="http://schemas.openxmlformats.org/officeDocument/2006/relationships/hyperlink" Target="https://www.britannica.com/biography/Winston-Churchill" TargetMode="External"/><Relationship Id="rId9" Type="http://schemas.openxmlformats.org/officeDocument/2006/relationships/hyperlink" Target="https://www.britannica.com/place/Verdun-France" TargetMode="External"/><Relationship Id="rId10" Type="http://schemas.openxmlformats.org/officeDocument/2006/relationships/hyperlink" Target="https://www.britannica.com/topic/trench-war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4184</Characters>
  <Application>Microsoft Macintosh Word</Application>
  <DocSecurity>0</DocSecurity>
  <Lines>34</Lines>
  <Paragraphs>9</Paragraphs>
  <ScaleCrop>false</ScaleCrop>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2018-04-06T14:31:00Z</dcterms:created>
  <dcterms:modified xsi:type="dcterms:W3CDTF">2018-04-06T14:31:00Z</dcterms:modified>
</cp:coreProperties>
</file>